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5" w:rsidRPr="00055A07" w:rsidRDefault="005751AF" w:rsidP="00140953">
      <w:pPr>
        <w:rPr>
          <w:rFonts w:ascii="Tahoma" w:hAnsi="Tahoma" w:cs="Tahoma"/>
          <w:b/>
          <w:sz w:val="24"/>
          <w:szCs w:val="24"/>
        </w:rPr>
      </w:pP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Pr="00055A07">
        <w:rPr>
          <w:rFonts w:ascii="Tahoma" w:hAnsi="Tahoma" w:cs="Tahoma"/>
          <w:b/>
          <w:sz w:val="22"/>
          <w:szCs w:val="22"/>
        </w:rPr>
        <w:tab/>
      </w:r>
      <w:r w:rsidR="00DC3DA4" w:rsidRPr="00055A07">
        <w:rPr>
          <w:rFonts w:ascii="Tahoma" w:hAnsi="Tahoma" w:cs="Tahoma"/>
          <w:b/>
          <w:sz w:val="24"/>
          <w:szCs w:val="24"/>
        </w:rPr>
        <w:t>PROGRAMUL</w:t>
      </w:r>
    </w:p>
    <w:p w:rsidR="00560FC2" w:rsidRPr="00055A07" w:rsidRDefault="00C04DCD" w:rsidP="00DC3DA4">
      <w:pPr>
        <w:jc w:val="center"/>
        <w:rPr>
          <w:rFonts w:ascii="Tahoma" w:hAnsi="Tahoma" w:cs="Tahoma"/>
          <w:sz w:val="24"/>
          <w:szCs w:val="24"/>
        </w:rPr>
      </w:pPr>
      <w:r w:rsidRPr="00055A07">
        <w:rPr>
          <w:rFonts w:ascii="Tahoma" w:hAnsi="Tahoma" w:cs="Tahoma"/>
          <w:sz w:val="24"/>
          <w:szCs w:val="24"/>
        </w:rPr>
        <w:t>cursuril</w:t>
      </w:r>
      <w:r w:rsidR="005E38F4" w:rsidRPr="00055A07">
        <w:rPr>
          <w:rFonts w:ascii="Tahoma" w:hAnsi="Tahoma" w:cs="Tahoma"/>
          <w:sz w:val="24"/>
          <w:szCs w:val="24"/>
        </w:rPr>
        <w:t>or</w:t>
      </w:r>
      <w:r w:rsidRPr="00055A07">
        <w:rPr>
          <w:rFonts w:ascii="Tahoma" w:hAnsi="Tahoma" w:cs="Tahoma"/>
          <w:sz w:val="24"/>
          <w:szCs w:val="24"/>
        </w:rPr>
        <w:t xml:space="preserve"> de pregătire pentru </w:t>
      </w:r>
      <w:r w:rsidR="00503722" w:rsidRPr="00055A07">
        <w:rPr>
          <w:rFonts w:ascii="Tahoma" w:hAnsi="Tahoma" w:cs="Tahoma"/>
          <w:sz w:val="24"/>
          <w:szCs w:val="24"/>
        </w:rPr>
        <w:t>persoanele</w:t>
      </w:r>
      <w:r w:rsidRPr="00055A07">
        <w:rPr>
          <w:rFonts w:ascii="Tahoma" w:hAnsi="Tahoma" w:cs="Tahoma"/>
          <w:sz w:val="24"/>
          <w:szCs w:val="24"/>
        </w:rPr>
        <w:t xml:space="preserve"> </w:t>
      </w:r>
      <w:r w:rsidR="00560FC2" w:rsidRPr="00055A07">
        <w:rPr>
          <w:rFonts w:ascii="Tahoma" w:hAnsi="Tahoma" w:cs="Tahoma"/>
          <w:sz w:val="24"/>
          <w:szCs w:val="24"/>
        </w:rPr>
        <w:t>care intenționează să participe</w:t>
      </w:r>
    </w:p>
    <w:p w:rsidR="00C04DCD" w:rsidRPr="00055A07" w:rsidRDefault="00560FC2" w:rsidP="00DC3DA4">
      <w:pPr>
        <w:jc w:val="center"/>
        <w:rPr>
          <w:rFonts w:ascii="Tahoma" w:hAnsi="Tahoma" w:cs="Tahoma"/>
          <w:sz w:val="24"/>
          <w:szCs w:val="24"/>
        </w:rPr>
      </w:pPr>
      <w:r w:rsidRPr="00055A07">
        <w:rPr>
          <w:rFonts w:ascii="Tahoma" w:hAnsi="Tahoma" w:cs="Tahoma"/>
          <w:sz w:val="24"/>
          <w:szCs w:val="24"/>
        </w:rPr>
        <w:t>la examenul/concursul pentru dobândirea calității de notar stagiar</w:t>
      </w:r>
    </w:p>
    <w:p w:rsidR="00191CD7" w:rsidRPr="00055A07" w:rsidRDefault="00F22706" w:rsidP="00191CD7">
      <w:pPr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055A07">
        <w:rPr>
          <w:rFonts w:ascii="Tahoma" w:hAnsi="Tahoma" w:cs="Tahoma"/>
          <w:sz w:val="22"/>
          <w:szCs w:val="22"/>
          <w:lang w:val="en-US"/>
        </w:rPr>
        <w:t>C</w:t>
      </w:r>
      <w:r w:rsidR="00295226" w:rsidRPr="00055A07">
        <w:rPr>
          <w:rFonts w:ascii="Tahoma" w:hAnsi="Tahoma" w:cs="Tahoma"/>
          <w:sz w:val="22"/>
          <w:szCs w:val="22"/>
          <w:lang w:val="en-US"/>
        </w:rPr>
        <w:t>ursuri</w:t>
      </w:r>
      <w:r w:rsidRPr="00055A07">
        <w:rPr>
          <w:rFonts w:ascii="Tahoma" w:hAnsi="Tahoma" w:cs="Tahoma"/>
          <w:sz w:val="22"/>
          <w:szCs w:val="22"/>
          <w:lang w:val="en-US"/>
        </w:rPr>
        <w:t>le</w:t>
      </w:r>
      <w:proofErr w:type="spellEnd"/>
      <w:r w:rsidR="00295226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95226" w:rsidRPr="00055A07">
        <w:rPr>
          <w:rFonts w:ascii="Tahoma" w:hAnsi="Tahoma" w:cs="Tahoma"/>
          <w:sz w:val="22"/>
          <w:szCs w:val="22"/>
          <w:lang w:val="en-US"/>
        </w:rPr>
        <w:t>v</w:t>
      </w:r>
      <w:r w:rsidR="00AD136F" w:rsidRPr="00055A07">
        <w:rPr>
          <w:rFonts w:ascii="Tahoma" w:hAnsi="Tahoma" w:cs="Tahoma"/>
          <w:sz w:val="22"/>
          <w:szCs w:val="22"/>
          <w:lang w:val="en-US"/>
        </w:rPr>
        <w:t>o</w:t>
      </w:r>
      <w:r w:rsidRPr="00055A07">
        <w:rPr>
          <w:rFonts w:ascii="Tahoma" w:hAnsi="Tahoma" w:cs="Tahoma"/>
          <w:sz w:val="22"/>
          <w:szCs w:val="22"/>
          <w:lang w:val="en-US"/>
        </w:rPr>
        <w:t>r</w:t>
      </w:r>
      <w:proofErr w:type="spellEnd"/>
      <w:r w:rsidR="00AD136F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95226" w:rsidRPr="00055A07">
        <w:rPr>
          <w:rFonts w:ascii="Tahoma" w:hAnsi="Tahoma" w:cs="Tahoma"/>
          <w:sz w:val="22"/>
          <w:szCs w:val="22"/>
          <w:lang w:val="en-US"/>
        </w:rPr>
        <w:t>av</w:t>
      </w:r>
      <w:r w:rsidR="00AD136F" w:rsidRPr="00055A07">
        <w:rPr>
          <w:rFonts w:ascii="Tahoma" w:hAnsi="Tahoma" w:cs="Tahoma"/>
          <w:sz w:val="22"/>
          <w:szCs w:val="22"/>
          <w:lang w:val="en-US"/>
        </w:rPr>
        <w:t>ea</w:t>
      </w:r>
      <w:proofErr w:type="spellEnd"/>
      <w:r w:rsidR="00295226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95226" w:rsidRPr="00055A07">
        <w:rPr>
          <w:rFonts w:ascii="Tahoma" w:hAnsi="Tahoma" w:cs="Tahoma"/>
          <w:sz w:val="22"/>
          <w:szCs w:val="22"/>
          <w:lang w:val="en-US"/>
        </w:rPr>
        <w:t>în</w:t>
      </w:r>
      <w:proofErr w:type="spellEnd"/>
      <w:r w:rsidR="00295226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95226" w:rsidRPr="00055A07">
        <w:rPr>
          <w:rFonts w:ascii="Tahoma" w:hAnsi="Tahoma" w:cs="Tahoma"/>
          <w:sz w:val="22"/>
          <w:szCs w:val="22"/>
          <w:lang w:val="en-US"/>
        </w:rPr>
        <w:t>vedere</w:t>
      </w:r>
      <w:proofErr w:type="spellEnd"/>
      <w:r w:rsidR="00295226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9C1E77" w:rsidRPr="00055A07">
        <w:rPr>
          <w:rFonts w:ascii="Tahoma" w:hAnsi="Tahoma" w:cs="Tahoma"/>
          <w:sz w:val="22"/>
          <w:szCs w:val="22"/>
          <w:lang w:val="en-US"/>
        </w:rPr>
        <w:t>t</w:t>
      </w:r>
      <w:r w:rsidR="007551DC" w:rsidRPr="00055A07">
        <w:rPr>
          <w:rFonts w:ascii="Tahoma" w:hAnsi="Tahoma" w:cs="Tahoma"/>
          <w:sz w:val="22"/>
          <w:szCs w:val="22"/>
          <w:lang w:val="en-US"/>
        </w:rPr>
        <w:t>ematica</w:t>
      </w:r>
      <w:proofErr w:type="spellEnd"/>
      <w:r w:rsidR="007551DC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7551DC" w:rsidRPr="00055A07">
        <w:rPr>
          <w:rFonts w:ascii="Tahoma" w:hAnsi="Tahoma" w:cs="Tahoma"/>
          <w:sz w:val="22"/>
          <w:szCs w:val="22"/>
          <w:lang w:val="en-US"/>
        </w:rPr>
        <w:t>și</w:t>
      </w:r>
      <w:proofErr w:type="spellEnd"/>
      <w:r w:rsidR="007551DC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7551DC" w:rsidRPr="00055A07">
        <w:rPr>
          <w:rFonts w:ascii="Tahoma" w:hAnsi="Tahoma" w:cs="Tahoma"/>
          <w:sz w:val="22"/>
          <w:szCs w:val="22"/>
          <w:lang w:val="en-US"/>
        </w:rPr>
        <w:t>bibliografia</w:t>
      </w:r>
      <w:proofErr w:type="spellEnd"/>
      <w:r w:rsidR="007551DC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E2D49" w:rsidRPr="00055A07">
        <w:rPr>
          <w:rFonts w:ascii="Tahoma" w:hAnsi="Tahoma" w:cs="Tahoma"/>
          <w:sz w:val="22"/>
          <w:szCs w:val="22"/>
          <w:lang w:val="en-US"/>
        </w:rPr>
        <w:t>pentru</w:t>
      </w:r>
      <w:proofErr w:type="spellEnd"/>
      <w:r w:rsidR="00BE2D49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E2D49" w:rsidRPr="00055A07">
        <w:rPr>
          <w:rFonts w:ascii="Tahoma" w:hAnsi="Tahoma" w:cs="Tahoma"/>
          <w:sz w:val="22"/>
          <w:szCs w:val="22"/>
          <w:lang w:val="en-US"/>
        </w:rPr>
        <w:t>exam</w:t>
      </w:r>
      <w:r w:rsidR="009C1E77" w:rsidRPr="00055A07">
        <w:rPr>
          <w:rFonts w:ascii="Tahoma" w:hAnsi="Tahoma" w:cs="Tahoma"/>
          <w:sz w:val="22"/>
          <w:szCs w:val="22"/>
          <w:lang w:val="en-US"/>
        </w:rPr>
        <w:t>enul</w:t>
      </w:r>
      <w:proofErr w:type="spellEnd"/>
      <w:r w:rsidR="009C1E77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9C1E77" w:rsidRPr="00055A07">
        <w:rPr>
          <w:rFonts w:ascii="Tahoma" w:hAnsi="Tahoma" w:cs="Tahoma"/>
          <w:sz w:val="22"/>
          <w:szCs w:val="22"/>
          <w:lang w:val="en-US"/>
        </w:rPr>
        <w:t>sau</w:t>
      </w:r>
      <w:proofErr w:type="spellEnd"/>
      <w:r w:rsidR="009C1E77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9C1E77" w:rsidRPr="00055A07">
        <w:rPr>
          <w:rFonts w:ascii="Tahoma" w:hAnsi="Tahoma" w:cs="Tahoma"/>
          <w:sz w:val="22"/>
          <w:szCs w:val="22"/>
          <w:lang w:val="en-US"/>
        </w:rPr>
        <w:t>concursul</w:t>
      </w:r>
      <w:proofErr w:type="spellEnd"/>
      <w:r w:rsidR="009C1E77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33C05" w:rsidRPr="00055A07">
        <w:rPr>
          <w:rFonts w:ascii="Tahoma" w:hAnsi="Tahoma" w:cs="Tahoma"/>
          <w:sz w:val="22"/>
          <w:szCs w:val="22"/>
          <w:lang w:val="en-US"/>
        </w:rPr>
        <w:t>pentru</w:t>
      </w:r>
      <w:proofErr w:type="spellEnd"/>
      <w:r w:rsidR="009C1E77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9C1E77" w:rsidRPr="00055A07">
        <w:rPr>
          <w:rFonts w:ascii="Tahoma" w:hAnsi="Tahoma" w:cs="Tahoma"/>
          <w:sz w:val="22"/>
          <w:szCs w:val="22"/>
          <w:lang w:val="en-US"/>
        </w:rPr>
        <w:t>dobândirea</w:t>
      </w:r>
      <w:proofErr w:type="spellEnd"/>
      <w:r w:rsidR="009C1E77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E2D49" w:rsidRPr="00055A07">
        <w:rPr>
          <w:rFonts w:ascii="Tahoma" w:hAnsi="Tahoma" w:cs="Tahoma"/>
          <w:sz w:val="22"/>
          <w:szCs w:val="22"/>
          <w:lang w:val="en-US"/>
        </w:rPr>
        <w:t>calității</w:t>
      </w:r>
      <w:proofErr w:type="spellEnd"/>
      <w:r w:rsidR="00BE2D49" w:rsidRPr="00055A07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="00BE2D49" w:rsidRPr="00055A07">
        <w:rPr>
          <w:rFonts w:ascii="Tahoma" w:hAnsi="Tahoma" w:cs="Tahoma"/>
          <w:sz w:val="22"/>
          <w:szCs w:val="22"/>
          <w:lang w:val="en-US"/>
        </w:rPr>
        <w:t>notar</w:t>
      </w:r>
      <w:proofErr w:type="spellEnd"/>
      <w:r w:rsidR="00BE2D49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E2D49" w:rsidRPr="00055A07">
        <w:rPr>
          <w:rFonts w:ascii="Tahoma" w:hAnsi="Tahoma" w:cs="Tahoma"/>
          <w:sz w:val="22"/>
          <w:szCs w:val="22"/>
          <w:lang w:val="en-US"/>
        </w:rPr>
        <w:t>stagiar</w:t>
      </w:r>
      <w:proofErr w:type="spellEnd"/>
      <w:r w:rsidR="00BE2D49" w:rsidRPr="00055A07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="00295226" w:rsidRPr="00055A07">
        <w:rPr>
          <w:rFonts w:ascii="Tahoma" w:hAnsi="Tahoma" w:cs="Tahoma"/>
          <w:sz w:val="22"/>
          <w:szCs w:val="22"/>
          <w:lang w:val="en-US"/>
        </w:rPr>
        <w:t>aprobată</w:t>
      </w:r>
      <w:proofErr w:type="spellEnd"/>
      <w:r w:rsidR="00295226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95226" w:rsidRPr="00055A07">
        <w:rPr>
          <w:rFonts w:ascii="Tahoma" w:hAnsi="Tahoma" w:cs="Tahoma"/>
          <w:sz w:val="22"/>
          <w:szCs w:val="22"/>
          <w:lang w:val="en-US"/>
        </w:rPr>
        <w:t>prin</w:t>
      </w:r>
      <w:proofErr w:type="spellEnd"/>
      <w:r w:rsidR="00295226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E2D49" w:rsidRPr="00055A07">
        <w:rPr>
          <w:rFonts w:ascii="Tahoma" w:hAnsi="Tahoma" w:cs="Tahoma"/>
          <w:sz w:val="22"/>
          <w:szCs w:val="22"/>
          <w:lang w:val="en-US"/>
        </w:rPr>
        <w:t>Hotă</w:t>
      </w:r>
      <w:r w:rsidR="00433C05" w:rsidRPr="00055A07">
        <w:rPr>
          <w:rFonts w:ascii="Tahoma" w:hAnsi="Tahoma" w:cs="Tahoma"/>
          <w:sz w:val="22"/>
          <w:szCs w:val="22"/>
          <w:lang w:val="en-US"/>
        </w:rPr>
        <w:t>rârea</w:t>
      </w:r>
      <w:proofErr w:type="spellEnd"/>
      <w:r w:rsidR="00433C05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33C05" w:rsidRPr="00055A07">
        <w:rPr>
          <w:rFonts w:ascii="Tahoma" w:hAnsi="Tahoma" w:cs="Tahoma"/>
          <w:sz w:val="22"/>
          <w:szCs w:val="22"/>
          <w:lang w:val="en-US"/>
        </w:rPr>
        <w:t>Consiliului</w:t>
      </w:r>
      <w:proofErr w:type="spellEnd"/>
      <w:r w:rsidR="00433C05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33C05" w:rsidRPr="00055A07">
        <w:rPr>
          <w:rFonts w:ascii="Tahoma" w:hAnsi="Tahoma" w:cs="Tahoma"/>
          <w:sz w:val="22"/>
          <w:szCs w:val="22"/>
          <w:lang w:val="en-US"/>
        </w:rPr>
        <w:t>Uniunii</w:t>
      </w:r>
      <w:proofErr w:type="spellEnd"/>
      <w:r w:rsidR="00433C05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33C05" w:rsidRPr="00055A07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="00433C05" w:rsidRPr="00055A07">
        <w:rPr>
          <w:rFonts w:ascii="Tahoma" w:hAnsi="Tahoma" w:cs="Tahoma"/>
          <w:sz w:val="22"/>
          <w:szCs w:val="22"/>
          <w:lang w:val="en-US"/>
        </w:rPr>
        <w:t>. 81</w:t>
      </w:r>
      <w:r w:rsidR="00BE2D49" w:rsidRPr="00055A07">
        <w:rPr>
          <w:rFonts w:ascii="Tahoma" w:hAnsi="Tahoma" w:cs="Tahoma"/>
          <w:sz w:val="22"/>
          <w:szCs w:val="22"/>
          <w:lang w:val="en-US"/>
        </w:rPr>
        <w:t xml:space="preserve"> din </w:t>
      </w:r>
      <w:r w:rsidR="00433C05" w:rsidRPr="00055A07">
        <w:rPr>
          <w:rFonts w:ascii="Tahoma" w:hAnsi="Tahoma" w:cs="Tahoma"/>
          <w:sz w:val="22"/>
          <w:szCs w:val="22"/>
          <w:lang w:val="en-US"/>
        </w:rPr>
        <w:t>1</w:t>
      </w:r>
      <w:r w:rsidR="00BE2D49" w:rsidRPr="00055A07">
        <w:rPr>
          <w:rFonts w:ascii="Tahoma" w:hAnsi="Tahoma" w:cs="Tahoma"/>
          <w:sz w:val="22"/>
          <w:szCs w:val="22"/>
          <w:lang w:val="en-US"/>
        </w:rPr>
        <w:t>3.</w:t>
      </w:r>
      <w:r w:rsidR="00433C05" w:rsidRPr="00055A07">
        <w:rPr>
          <w:rFonts w:ascii="Tahoma" w:hAnsi="Tahoma" w:cs="Tahoma"/>
          <w:sz w:val="22"/>
          <w:szCs w:val="22"/>
          <w:lang w:val="en-US"/>
        </w:rPr>
        <w:t>1</w:t>
      </w:r>
      <w:r w:rsidR="00BE2D49" w:rsidRPr="00055A07">
        <w:rPr>
          <w:rFonts w:ascii="Tahoma" w:hAnsi="Tahoma" w:cs="Tahoma"/>
          <w:sz w:val="22"/>
          <w:szCs w:val="22"/>
          <w:lang w:val="en-US"/>
        </w:rPr>
        <w:t>0.201</w:t>
      </w:r>
      <w:r w:rsidR="00433C05" w:rsidRPr="00055A07">
        <w:rPr>
          <w:rFonts w:ascii="Tahoma" w:hAnsi="Tahoma" w:cs="Tahoma"/>
          <w:sz w:val="22"/>
          <w:szCs w:val="22"/>
          <w:lang w:val="en-US"/>
        </w:rPr>
        <w:t>7</w:t>
      </w:r>
      <w:r w:rsidR="002854AE" w:rsidRPr="00055A07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="002854AE" w:rsidRPr="00055A07">
        <w:rPr>
          <w:rFonts w:ascii="Tahoma" w:hAnsi="Tahoma" w:cs="Tahoma"/>
          <w:sz w:val="22"/>
          <w:szCs w:val="22"/>
          <w:lang w:val="en-US"/>
        </w:rPr>
        <w:t>publi</w:t>
      </w:r>
      <w:r w:rsidR="009C1E77" w:rsidRPr="00055A07">
        <w:rPr>
          <w:rFonts w:ascii="Tahoma" w:hAnsi="Tahoma" w:cs="Tahoma"/>
          <w:sz w:val="22"/>
          <w:szCs w:val="22"/>
          <w:lang w:val="en-US"/>
        </w:rPr>
        <w:t>cată</w:t>
      </w:r>
      <w:proofErr w:type="spellEnd"/>
      <w:r w:rsidR="002854AE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854AE" w:rsidRPr="00055A07">
        <w:rPr>
          <w:rFonts w:ascii="Tahoma" w:hAnsi="Tahoma" w:cs="Tahoma"/>
          <w:sz w:val="22"/>
          <w:szCs w:val="22"/>
          <w:lang w:val="en-US"/>
        </w:rPr>
        <w:t>pe</w:t>
      </w:r>
      <w:proofErr w:type="spellEnd"/>
      <w:r w:rsidR="002854AE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574D7" w:rsidRPr="00055A07">
        <w:rPr>
          <w:rFonts w:ascii="Tahoma" w:hAnsi="Tahoma" w:cs="Tahoma"/>
          <w:sz w:val="22"/>
          <w:szCs w:val="22"/>
          <w:lang w:val="en-US"/>
        </w:rPr>
        <w:t>pagina</w:t>
      </w:r>
      <w:proofErr w:type="spellEnd"/>
      <w:r w:rsidR="00B574D7" w:rsidRPr="00055A07">
        <w:rPr>
          <w:rFonts w:ascii="Tahoma" w:hAnsi="Tahoma" w:cs="Tahoma"/>
          <w:sz w:val="22"/>
          <w:szCs w:val="22"/>
          <w:lang w:val="en-US"/>
        </w:rPr>
        <w:t xml:space="preserve"> de internet</w:t>
      </w:r>
      <w:r w:rsidRPr="00055A07">
        <w:rPr>
          <w:rFonts w:ascii="Tahoma" w:hAnsi="Tahoma" w:cs="Tahoma"/>
          <w:sz w:val="22"/>
          <w:szCs w:val="22"/>
          <w:lang w:val="en-US"/>
        </w:rPr>
        <w:t>: www.</w:t>
      </w:r>
      <w:r w:rsidR="009C1E77" w:rsidRPr="00055A07">
        <w:rPr>
          <w:rFonts w:ascii="Tahoma" w:hAnsi="Tahoma" w:cs="Tahoma"/>
          <w:sz w:val="22"/>
          <w:szCs w:val="22"/>
          <w:lang w:val="en-US"/>
        </w:rPr>
        <w:t>u</w:t>
      </w:r>
      <w:r w:rsidR="00D728D0" w:rsidRPr="00055A07">
        <w:rPr>
          <w:rFonts w:ascii="Tahoma" w:hAnsi="Tahoma" w:cs="Tahoma"/>
          <w:sz w:val="22"/>
          <w:szCs w:val="22"/>
          <w:lang w:val="en-US"/>
        </w:rPr>
        <w:t xml:space="preserve">niuneanotarilor.ro la </w:t>
      </w:r>
      <w:proofErr w:type="spellStart"/>
      <w:r w:rsidR="00D728D0" w:rsidRPr="00055A07">
        <w:rPr>
          <w:rFonts w:ascii="Tahoma" w:hAnsi="Tahoma" w:cs="Tahoma"/>
          <w:sz w:val="22"/>
          <w:szCs w:val="22"/>
          <w:lang w:val="en-US"/>
        </w:rPr>
        <w:t>secțiunea</w:t>
      </w:r>
      <w:proofErr w:type="spellEnd"/>
      <w:r w:rsidR="00D728D0" w:rsidRPr="00055A0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="007F2C5A" w:rsidRPr="00055A07">
        <w:rPr>
          <w:rFonts w:ascii="Tahoma" w:hAnsi="Tahoma" w:cs="Tahoma"/>
          <w:b/>
          <w:i/>
          <w:sz w:val="22"/>
          <w:szCs w:val="22"/>
          <w:lang w:val="en-US"/>
        </w:rPr>
        <w:t>C</w:t>
      </w:r>
      <w:r w:rsidR="00B352BA" w:rsidRPr="00055A07">
        <w:rPr>
          <w:rFonts w:ascii="Tahoma" w:hAnsi="Tahoma" w:cs="Tahoma"/>
          <w:b/>
          <w:i/>
          <w:sz w:val="22"/>
          <w:szCs w:val="22"/>
          <w:lang w:val="en-US"/>
        </w:rPr>
        <w:t>um</w:t>
      </w:r>
      <w:proofErr w:type="gramEnd"/>
      <w:r w:rsidR="00B352BA" w:rsidRPr="00055A07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proofErr w:type="spellStart"/>
      <w:r w:rsidR="00B352BA" w:rsidRPr="00055A07">
        <w:rPr>
          <w:rFonts w:ascii="Tahoma" w:hAnsi="Tahoma" w:cs="Tahoma"/>
          <w:b/>
          <w:i/>
          <w:sz w:val="22"/>
          <w:szCs w:val="22"/>
          <w:lang w:val="en-US"/>
        </w:rPr>
        <w:t>devin</w:t>
      </w:r>
      <w:proofErr w:type="spellEnd"/>
      <w:r w:rsidR="00B352BA" w:rsidRPr="00055A07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proofErr w:type="spellStart"/>
      <w:r w:rsidR="00B352BA" w:rsidRPr="00055A07">
        <w:rPr>
          <w:rFonts w:ascii="Tahoma" w:hAnsi="Tahoma" w:cs="Tahoma"/>
          <w:b/>
          <w:i/>
          <w:sz w:val="22"/>
          <w:szCs w:val="22"/>
          <w:lang w:val="en-US"/>
        </w:rPr>
        <w:t>notar</w:t>
      </w:r>
      <w:proofErr w:type="spellEnd"/>
      <w:r w:rsidR="00D9772D" w:rsidRPr="00055A07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9F3EB1" w:rsidRPr="00055A07" w:rsidRDefault="009F3EB1" w:rsidP="001220CC">
      <w:pPr>
        <w:jc w:val="center"/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0"/>
        <w:gridCol w:w="1550"/>
        <w:gridCol w:w="1418"/>
        <w:gridCol w:w="9497"/>
        <w:gridCol w:w="2126"/>
      </w:tblGrid>
      <w:tr w:rsidR="00055A07" w:rsidRPr="00055A07" w:rsidTr="006C2AFE">
        <w:tc>
          <w:tcPr>
            <w:tcW w:w="860" w:type="dxa"/>
            <w:shd w:val="clear" w:color="auto" w:fill="FFFFFF" w:themeFill="background1"/>
            <w:vAlign w:val="center"/>
          </w:tcPr>
          <w:p w:rsidR="001220CC" w:rsidRPr="00055A07" w:rsidRDefault="00ED6E98" w:rsidP="00ED6E9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  <w:p w:rsidR="00ED6E98" w:rsidRPr="00055A07" w:rsidRDefault="00ED6E98" w:rsidP="00ED6E9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D6E98" w:rsidRPr="00055A07" w:rsidRDefault="00ED6E98" w:rsidP="00ED6E9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Data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6E98" w:rsidRPr="00055A07" w:rsidRDefault="00ED6E98" w:rsidP="00ED6E9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Intervalul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orar</w:t>
            </w:r>
            <w:proofErr w:type="spellEnd"/>
          </w:p>
        </w:tc>
        <w:tc>
          <w:tcPr>
            <w:tcW w:w="9497" w:type="dxa"/>
            <w:vAlign w:val="center"/>
          </w:tcPr>
          <w:p w:rsidR="00ED6E98" w:rsidRPr="00055A07" w:rsidRDefault="00ED6E98" w:rsidP="00ED6E9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2126" w:type="dxa"/>
            <w:vAlign w:val="center"/>
          </w:tcPr>
          <w:p w:rsidR="00ED6E98" w:rsidRPr="00055A07" w:rsidRDefault="00ED6E98" w:rsidP="00ED6E9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Formator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576FB4" w:rsidRPr="00055A07" w:rsidRDefault="00576FB4" w:rsidP="001F4340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576FB4" w:rsidRPr="00055A07" w:rsidRDefault="00576FB4" w:rsidP="005975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Vineri</w:t>
            </w:r>
            <w:proofErr w:type="spellEnd"/>
          </w:p>
          <w:p w:rsidR="00576FB4" w:rsidRPr="00055A07" w:rsidRDefault="00163D53" w:rsidP="005210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1</w:t>
            </w:r>
            <w:r w:rsidR="0052108A" w:rsidRPr="00055A07">
              <w:rPr>
                <w:rFonts w:ascii="Tahoma" w:hAnsi="Tahoma" w:cs="Tahoma"/>
                <w:sz w:val="22"/>
                <w:szCs w:val="22"/>
              </w:rPr>
              <w:t>4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6FB4" w:rsidRPr="00055A07" w:rsidRDefault="00576FB4" w:rsidP="0059751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15,00-19,00</w:t>
            </w:r>
          </w:p>
        </w:tc>
        <w:tc>
          <w:tcPr>
            <w:tcW w:w="9497" w:type="dxa"/>
            <w:vAlign w:val="center"/>
          </w:tcPr>
          <w:p w:rsidR="00E85C96" w:rsidRPr="00055A07" w:rsidRDefault="004964D5" w:rsidP="00F73F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proces</w:t>
            </w:r>
            <w:r w:rsidR="00A61E15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ual</w:t>
            </w:r>
            <w:proofErr w:type="spellEnd"/>
            <w:r w:rsidR="00A61E15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</w:t>
            </w:r>
          </w:p>
          <w:p w:rsidR="00A61E15" w:rsidRPr="00055A07" w:rsidRDefault="00A61E15" w:rsidP="00F73F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Citarea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comunicarea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actelor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procedură</w:t>
            </w:r>
            <w:proofErr w:type="spellEnd"/>
          </w:p>
          <w:p w:rsidR="0044522F" w:rsidRPr="00055A07" w:rsidRDefault="00A61E15" w:rsidP="007154CE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Cuprinsul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citației</w:t>
            </w:r>
            <w:proofErr w:type="spellEnd"/>
            <w:r w:rsidR="007154C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Persoanele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urmează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 fi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citate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locul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citării</w:t>
            </w:r>
            <w:proofErr w:type="spellEnd"/>
            <w:r w:rsidR="007154C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Modalități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comunicare</w:t>
            </w:r>
            <w:proofErr w:type="spellEnd"/>
            <w:r w:rsidR="007154C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Înmânarea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citației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altor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procedură</w:t>
            </w:r>
            <w:proofErr w:type="spellEnd"/>
            <w:r w:rsidR="00FC50B4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DB6952" w:rsidRPr="00055A07" w:rsidRDefault="00DB6952" w:rsidP="00DB695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contractele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special</w:t>
            </w:r>
            <w:r w:rsidR="005012D3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proofErr w:type="spellEnd"/>
          </w:p>
          <w:p w:rsidR="0044522F" w:rsidRPr="00055A07" w:rsidRDefault="00DB6952" w:rsidP="002112C5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Cs/>
                <w:sz w:val="22"/>
                <w:szCs w:val="22"/>
              </w:rPr>
              <w:t>Contractul de vânzare</w:t>
            </w:r>
            <w:r w:rsidR="002112C5" w:rsidRPr="00055A07">
              <w:rPr>
                <w:rFonts w:ascii="Tahoma" w:hAnsi="Tahoma" w:cs="Tahoma"/>
                <w:bCs/>
                <w:sz w:val="22"/>
                <w:szCs w:val="22"/>
              </w:rPr>
              <w:t xml:space="preserve">; 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>Contractul de donație</w:t>
            </w:r>
            <w:r w:rsidR="002112C5" w:rsidRPr="00055A07">
              <w:rPr>
                <w:rFonts w:ascii="Tahoma" w:hAnsi="Tahoma" w:cs="Tahoma"/>
                <w:bCs/>
                <w:sz w:val="22"/>
                <w:szCs w:val="22"/>
              </w:rPr>
              <w:t xml:space="preserve">; 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>Contractul de mandat</w:t>
            </w:r>
          </w:p>
        </w:tc>
        <w:tc>
          <w:tcPr>
            <w:tcW w:w="2126" w:type="dxa"/>
            <w:vAlign w:val="center"/>
          </w:tcPr>
          <w:p w:rsidR="00F73FC2" w:rsidRPr="00055A07" w:rsidRDefault="00F73FC2" w:rsidP="00F73FC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F73FC2" w:rsidRPr="00055A07" w:rsidRDefault="00F73FC2" w:rsidP="00F73FC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univ.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dr.</w:t>
            </w:r>
          </w:p>
          <w:p w:rsidR="00576FB4" w:rsidRPr="00055A07" w:rsidRDefault="00F73FC2" w:rsidP="00F73FC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Manuela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Tăbăraș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iunie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9,00-13,00</w:t>
            </w:r>
          </w:p>
        </w:tc>
        <w:tc>
          <w:tcPr>
            <w:tcW w:w="9497" w:type="dxa"/>
            <w:vAlign w:val="center"/>
          </w:tcPr>
          <w:p w:rsidR="0091756A" w:rsidRPr="00055A07" w:rsidRDefault="0091756A" w:rsidP="0091756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–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partea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generală</w:t>
            </w:r>
            <w:proofErr w:type="spellEnd"/>
          </w:p>
          <w:p w:rsidR="0091756A" w:rsidRPr="00055A07" w:rsidRDefault="0091756A" w:rsidP="0091756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Aplicarea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legii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civile</w:t>
            </w:r>
            <w:proofErr w:type="spellEnd"/>
          </w:p>
          <w:p w:rsidR="00B54AA7" w:rsidRPr="00055A07" w:rsidRDefault="00F20316" w:rsidP="00171C7F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Raportul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civil: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Noțiune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caractere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structură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Conținutul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raportului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Obiectul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raportului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="0091756A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FC50B4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171C7F" w:rsidRPr="00055A07" w:rsidRDefault="00171C7F" w:rsidP="00295C19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Actul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Definiție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clasificare</w:t>
            </w:r>
            <w:proofErr w:type="spellEnd"/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Capacitatea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a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încheia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Consimțământul</w:t>
            </w:r>
            <w:proofErr w:type="spellEnd"/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Obiectul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Cauza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scopul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Forma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Modalitățile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Efectele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295C19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Nulitatea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civil</w:t>
            </w:r>
            <w:r w:rsidR="00FC50B4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</w:tc>
        <w:tc>
          <w:tcPr>
            <w:tcW w:w="2126" w:type="dxa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Ioana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Lambrina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Vidican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15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13,30-17,30</w:t>
            </w:r>
          </w:p>
        </w:tc>
        <w:tc>
          <w:tcPr>
            <w:tcW w:w="9497" w:type="dxa"/>
            <w:vAlign w:val="center"/>
          </w:tcPr>
          <w:p w:rsidR="000D360A" w:rsidRPr="00055A07" w:rsidRDefault="004964D5" w:rsidP="000D360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proces</w:t>
            </w:r>
            <w:r w:rsidR="000D360A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ual</w:t>
            </w:r>
            <w:proofErr w:type="spellEnd"/>
            <w:r w:rsidR="000D360A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</w:t>
            </w:r>
          </w:p>
          <w:p w:rsidR="00B54AA7" w:rsidRPr="00055A07" w:rsidRDefault="00787A52" w:rsidP="00B54AA7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Nulitatea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actelor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procedură</w:t>
            </w:r>
            <w:proofErr w:type="spellEnd"/>
            <w:r w:rsidR="00AE1C82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Noțiune</w:t>
            </w:r>
            <w:proofErr w:type="spellEnd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Clasificarea</w:t>
            </w:r>
            <w:proofErr w:type="spellEnd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nulităților</w:t>
            </w:r>
            <w:proofErr w:type="spellEnd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Cazurile</w:t>
            </w:r>
            <w:proofErr w:type="spellEnd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nulitate</w:t>
            </w:r>
            <w:proofErr w:type="spellEnd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Efectele</w:t>
            </w:r>
            <w:proofErr w:type="spellEnd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1C82" w:rsidRPr="00055A07">
              <w:rPr>
                <w:rFonts w:ascii="Tahoma" w:hAnsi="Tahoma" w:cs="Tahoma"/>
                <w:sz w:val="22"/>
                <w:szCs w:val="22"/>
                <w:lang w:val="en-US"/>
              </w:rPr>
              <w:t>nulității</w:t>
            </w:r>
            <w:proofErr w:type="spellEnd"/>
            <w:r w:rsidR="00FC50B4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787A52" w:rsidRPr="00055A07" w:rsidRDefault="002F7301" w:rsidP="00B54AA7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Termenele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procedurale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Noțiune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clasificare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Durată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Întrerupere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Mod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Calcul</w:t>
            </w:r>
            <w:proofErr w:type="spellEnd"/>
            <w:r w:rsidR="00FC50B4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</w:tc>
        <w:tc>
          <w:tcPr>
            <w:tcW w:w="2126" w:type="dxa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George Cosmin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Bivol</w:t>
            </w:r>
            <w:proofErr w:type="spellEnd"/>
          </w:p>
        </w:tc>
      </w:tr>
      <w:tr w:rsidR="00055A07" w:rsidRPr="00055A07" w:rsidTr="006C2AFE">
        <w:trPr>
          <w:trHeight w:val="564"/>
        </w:trPr>
        <w:tc>
          <w:tcPr>
            <w:tcW w:w="86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Duminic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</w:rPr>
              <w:t>ă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16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4AA7" w:rsidRPr="00055A07" w:rsidRDefault="007D1E5E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9,00-14</w:t>
            </w:r>
            <w:r w:rsidR="00B54AA7" w:rsidRPr="00055A07">
              <w:rPr>
                <w:rFonts w:ascii="Tahoma" w:hAnsi="Tahoma" w:cs="Tahoma"/>
                <w:sz w:val="22"/>
                <w:szCs w:val="22"/>
                <w:lang w:val="en-US"/>
              </w:rPr>
              <w:t>,00</w:t>
            </w:r>
          </w:p>
        </w:tc>
        <w:tc>
          <w:tcPr>
            <w:tcW w:w="9497" w:type="dxa"/>
            <w:vAlign w:val="center"/>
          </w:tcPr>
          <w:p w:rsidR="00D56333" w:rsidRPr="00055A07" w:rsidRDefault="00D56333" w:rsidP="00D56333">
            <w:pPr>
              <w:pStyle w:val="Style21"/>
              <w:widowControl/>
              <w:tabs>
                <w:tab w:val="left" w:pos="454"/>
              </w:tabs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t>PROCEDURILE NOTARIALE</w:t>
            </w:r>
          </w:p>
          <w:p w:rsidR="00FF1D2E" w:rsidRPr="00055A07" w:rsidRDefault="003E484E" w:rsidP="00FF1D2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PROCEDURA DIVORŢULUI</w:t>
            </w:r>
          </w:p>
          <w:p w:rsidR="00B54AA7" w:rsidRPr="00055A07" w:rsidRDefault="00FF1D2E" w:rsidP="00FF1D2E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şi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: art. 136 din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/ art. 267 - </w:t>
            </w:r>
            <w:proofErr w:type="gram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. 278 din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Regulament</w:t>
            </w:r>
            <w:proofErr w:type="spellEnd"/>
          </w:p>
          <w:p w:rsidR="00FF1D2E" w:rsidRPr="00055A07" w:rsidRDefault="00FF1D2E" w:rsidP="00FF1D2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RESPINGEREA UNUI ACT SAU A UNEI PROCEDURI NOTARIALE</w:t>
            </w:r>
          </w:p>
          <w:p w:rsidR="00FF1D2E" w:rsidRPr="00055A07" w:rsidRDefault="00FF1D2E" w:rsidP="007C4D90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şi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: art. 85, art. 138 - </w:t>
            </w:r>
            <w:proofErr w:type="gram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. 143, art. 157 din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/ art. 221, art. 332, ar</w:t>
            </w:r>
            <w:r w:rsidR="007C4D90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t. 334 din </w:t>
            </w:r>
            <w:proofErr w:type="spellStart"/>
            <w:r w:rsidR="007C4D90" w:rsidRPr="00055A07">
              <w:rPr>
                <w:rFonts w:ascii="Tahoma" w:hAnsi="Tahoma" w:cs="Tahoma"/>
                <w:sz w:val="22"/>
                <w:szCs w:val="22"/>
                <w:lang w:val="en-US"/>
              </w:rPr>
              <w:t>Regulament</w:t>
            </w:r>
            <w:proofErr w:type="spellEnd"/>
          </w:p>
          <w:p w:rsidR="00D25294" w:rsidRPr="00055A07" w:rsidRDefault="00D25294" w:rsidP="006A56A1">
            <w:pPr>
              <w:pStyle w:val="Style21"/>
              <w:widowControl/>
              <w:tabs>
                <w:tab w:val="left" w:pos="742"/>
              </w:tabs>
              <w:spacing w:before="199"/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lastRenderedPageBreak/>
              <w:t>ALTE PROCEDURI NOTARIALE</w:t>
            </w:r>
          </w:p>
          <w:p w:rsidR="00D25294" w:rsidRPr="00055A07" w:rsidRDefault="00D25294" w:rsidP="00777EC1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rStyle w:val="FontStyle26"/>
                <w:b/>
                <w:lang w:val="ro-RO" w:eastAsia="ro-RO"/>
              </w:rPr>
            </w:pPr>
            <w:r w:rsidRPr="00055A07">
              <w:rPr>
                <w:rStyle w:val="FontStyle26"/>
                <w:b/>
                <w:lang w:val="ro-RO" w:eastAsia="ro-RO"/>
              </w:rPr>
              <w:t>Legalizarea semnăturilor şi a sigiliilor</w:t>
            </w:r>
          </w:p>
          <w:p w:rsidR="00D25294" w:rsidRPr="00055A07" w:rsidRDefault="00D25294" w:rsidP="006A56A1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6"/>
                <w:i/>
                <w:lang w:val="ro-RO" w:eastAsia="ro-RO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i/>
                <w:sz w:val="22"/>
                <w:szCs w:val="22"/>
                <w:lang w:val="ro-RO"/>
              </w:rPr>
              <w:t>art.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 146 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din Lege / </w:t>
            </w:r>
            <w:r w:rsidRPr="00055A07">
              <w:rPr>
                <w:i/>
                <w:sz w:val="22"/>
                <w:szCs w:val="22"/>
                <w:lang w:val="ro-RO"/>
              </w:rPr>
              <w:t>art.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297 - art. 299 din Regulament/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 art. 2 și art. 6 din </w:t>
            </w:r>
            <w:r w:rsidRPr="00055A07">
              <w:rPr>
                <w:i/>
                <w:sz w:val="22"/>
                <w:szCs w:val="22"/>
                <w:lang w:val="ro-RO"/>
              </w:rPr>
              <w:t xml:space="preserve">Regulamentul privind forma și modul de utilizare a dispozitivelor speciale de marcat, precum și modul de marcare a arborilor sau a unor loturi de arbori, aprobat prin Ordinul ministrului mediului și pădurilor nr. 1.346/2011, publicat în </w:t>
            </w:r>
            <w:r w:rsidR="00FD3856">
              <w:rPr>
                <w:i/>
                <w:sz w:val="22"/>
                <w:szCs w:val="22"/>
                <w:lang w:val="ro-RO"/>
              </w:rPr>
              <w:fldChar w:fldCharType="begin"/>
            </w:r>
            <w:r w:rsidR="00FD3856">
              <w:rPr>
                <w:i/>
                <w:sz w:val="22"/>
                <w:szCs w:val="22"/>
                <w:lang w:val="ro-RO"/>
              </w:rPr>
              <w:instrText xml:space="preserve"> HYPERLINK "https://lege5.ro/App/Document/gi2tknjqgu/ordinul-nr-1346-2011-pentru-aprobarea-regulamentulu</w:instrText>
            </w:r>
            <w:r w:rsidR="00FD3856">
              <w:rPr>
                <w:i/>
                <w:sz w:val="22"/>
                <w:szCs w:val="22"/>
                <w:lang w:val="ro-RO"/>
              </w:rPr>
              <w:instrText xml:space="preserve">i-privind-forma-si-modul-de-utilizare-a-dispozitivelor-speciale-de-marcat-precum-si-modul-de-marcare-a-arborilor-sau-a-unor-loturi-de-arbori?d=18.05.2011" \t "_blank" </w:instrText>
            </w:r>
            <w:r w:rsidR="00FD3856">
              <w:rPr>
                <w:i/>
                <w:sz w:val="22"/>
                <w:szCs w:val="22"/>
                <w:lang w:val="ro-RO"/>
              </w:rPr>
              <w:fldChar w:fldCharType="separate"/>
            </w:r>
            <w:r w:rsidRPr="00055A07">
              <w:rPr>
                <w:i/>
                <w:sz w:val="22"/>
                <w:szCs w:val="22"/>
                <w:lang w:val="ro-RO"/>
              </w:rPr>
              <w:t>Monitorul Oficial al României, Partea I</w:t>
            </w:r>
            <w:r w:rsidR="00FD3856">
              <w:rPr>
                <w:i/>
                <w:sz w:val="22"/>
                <w:szCs w:val="22"/>
                <w:lang w:val="ro-RO"/>
              </w:rPr>
              <w:fldChar w:fldCharType="end"/>
            </w:r>
            <w:r w:rsidRPr="00055A07">
              <w:rPr>
                <w:i/>
                <w:sz w:val="22"/>
                <w:szCs w:val="22"/>
                <w:lang w:val="ro-RO"/>
              </w:rPr>
              <w:t>, nr. 346 din 18 mai 2011, cu modificările și completările ulterioare,</w:t>
            </w:r>
          </w:p>
          <w:p w:rsidR="00D25294" w:rsidRPr="00055A07" w:rsidRDefault="00D25294" w:rsidP="00777EC1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rStyle w:val="FontStyle26"/>
                <w:b/>
                <w:lang w:val="ro-RO" w:eastAsia="ro-RO"/>
              </w:rPr>
            </w:pPr>
            <w:r w:rsidRPr="00055A07">
              <w:rPr>
                <w:rStyle w:val="FontStyle26"/>
                <w:b/>
                <w:lang w:val="ro-RO" w:eastAsia="ro-RO"/>
              </w:rPr>
              <w:t>Darea de dată certă înscrisurilor</w:t>
            </w:r>
          </w:p>
          <w:p w:rsidR="00D25294" w:rsidRPr="00055A07" w:rsidRDefault="00D25294" w:rsidP="006A56A1">
            <w:pPr>
              <w:pStyle w:val="Style4"/>
              <w:widowControl/>
              <w:tabs>
                <w:tab w:val="left" w:pos="1750"/>
              </w:tabs>
              <w:spacing w:line="240" w:lineRule="auto"/>
              <w:ind w:firstLine="0"/>
              <w:jc w:val="both"/>
              <w:rPr>
                <w:rStyle w:val="FontStyle26"/>
                <w:i/>
                <w:lang w:val="ro-RO" w:eastAsia="ro-RO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art 147 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din Lege / </w:t>
            </w:r>
            <w:r w:rsidRPr="00055A07">
              <w:rPr>
                <w:i/>
                <w:sz w:val="20"/>
                <w:szCs w:val="20"/>
              </w:rPr>
              <w:t>Art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300 din Regulament/ art. 278 Cod de procedură civilă.</w:t>
            </w:r>
          </w:p>
          <w:p w:rsidR="00D25294" w:rsidRPr="00055A07" w:rsidRDefault="00D25294" w:rsidP="00777EC1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rStyle w:val="FontStyle26"/>
                <w:b/>
                <w:lang w:val="ro-RO" w:eastAsia="ro-RO"/>
              </w:rPr>
            </w:pPr>
            <w:r w:rsidRPr="00055A07">
              <w:rPr>
                <w:rStyle w:val="FontStyle26"/>
                <w:b/>
                <w:lang w:val="ro-RO" w:eastAsia="ro-RO"/>
              </w:rPr>
              <w:t>Certificarea unor fapte. Certificarea proceselor verbale sau hotărârilor organelor colegiale</w:t>
            </w:r>
          </w:p>
          <w:p w:rsidR="00D25294" w:rsidRPr="00055A07" w:rsidRDefault="00D25294" w:rsidP="00777EC1">
            <w:pPr>
              <w:pStyle w:val="Style21"/>
              <w:widowControl/>
              <w:spacing w:before="199"/>
              <w:rPr>
                <w:rStyle w:val="FontStyle25"/>
                <w:b w:val="0"/>
                <w:bCs w:val="0"/>
                <w:i/>
                <w:lang w:val="ro-RO" w:eastAsia="ro-RO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i/>
                <w:sz w:val="22"/>
                <w:szCs w:val="22"/>
              </w:rPr>
              <w:t>art.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 148 - </w:t>
            </w:r>
            <w:r w:rsidRPr="00055A07">
              <w:rPr>
                <w:i/>
                <w:sz w:val="22"/>
                <w:szCs w:val="22"/>
              </w:rPr>
              <w:t xml:space="preserve">art. 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149 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din Lege / </w:t>
            </w:r>
            <w:r w:rsidRPr="00055A07">
              <w:rPr>
                <w:i/>
                <w:sz w:val="22"/>
                <w:szCs w:val="22"/>
              </w:rPr>
              <w:t xml:space="preserve">art. </w:t>
            </w:r>
            <w:r w:rsidRPr="00055A07">
              <w:rPr>
                <w:rStyle w:val="FontStyle26"/>
                <w:i/>
                <w:lang w:val="ro-RO" w:eastAsia="ro-RO"/>
              </w:rPr>
              <w:t>3</w:t>
            </w:r>
            <w:r w:rsidRPr="00055A07">
              <w:rPr>
                <w:i/>
                <w:sz w:val="22"/>
                <w:szCs w:val="22"/>
              </w:rPr>
              <w:t>01 - art. 310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din Regulament.</w:t>
            </w:r>
          </w:p>
          <w:p w:rsidR="00D25294" w:rsidRPr="00055A07" w:rsidRDefault="00D25294" w:rsidP="00777EC1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rStyle w:val="FontStyle26"/>
                <w:b/>
                <w:lang w:val="ro-RO" w:eastAsia="ro-RO"/>
              </w:rPr>
            </w:pPr>
            <w:r w:rsidRPr="00055A07">
              <w:rPr>
                <w:rStyle w:val="FontStyle26"/>
                <w:b/>
                <w:lang w:val="ro-RO" w:eastAsia="ro-RO"/>
              </w:rPr>
              <w:t>Legalizarea copiilor după înscrisuri</w:t>
            </w:r>
          </w:p>
          <w:p w:rsidR="00D25294" w:rsidRPr="00055A07" w:rsidRDefault="00D25294" w:rsidP="006A56A1">
            <w:pPr>
              <w:pStyle w:val="Style4"/>
              <w:widowControl/>
              <w:tabs>
                <w:tab w:val="left" w:pos="1750"/>
              </w:tabs>
              <w:spacing w:line="240" w:lineRule="auto"/>
              <w:ind w:firstLine="0"/>
              <w:jc w:val="both"/>
              <w:rPr>
                <w:rStyle w:val="FontStyle26"/>
                <w:i/>
                <w:lang w:val="ro-RO" w:eastAsia="ro-RO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i/>
                <w:sz w:val="22"/>
                <w:szCs w:val="22"/>
              </w:rPr>
              <w:t>art.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 150 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din Lege / </w:t>
            </w:r>
            <w:r w:rsidRPr="00055A07">
              <w:rPr>
                <w:i/>
                <w:sz w:val="22"/>
                <w:szCs w:val="22"/>
              </w:rPr>
              <w:t>art.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311 – art. 317 din Regulament.</w:t>
            </w:r>
          </w:p>
          <w:p w:rsidR="00D25294" w:rsidRPr="00055A07" w:rsidRDefault="00D25294" w:rsidP="00644D4E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rStyle w:val="FontStyle26"/>
                <w:b/>
                <w:lang w:val="ro-RO" w:eastAsia="ro-RO"/>
              </w:rPr>
            </w:pPr>
            <w:r w:rsidRPr="00055A07">
              <w:rPr>
                <w:rStyle w:val="FontStyle26"/>
                <w:b/>
                <w:lang w:val="ro-RO" w:eastAsia="ro-RO"/>
              </w:rPr>
              <w:t>Primirea în depozit de înscrisuri şi documente</w:t>
            </w:r>
          </w:p>
          <w:p w:rsidR="00D25294" w:rsidRPr="00055A07" w:rsidRDefault="00D25294" w:rsidP="006A56A1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b/>
                <w:sz w:val="22"/>
                <w:szCs w:val="22"/>
                <w:lang w:val="ro-RO" w:eastAsia="ro-RO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i/>
                <w:sz w:val="22"/>
                <w:szCs w:val="22"/>
              </w:rPr>
              <w:t xml:space="preserve">art. 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152 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din Lege / </w:t>
            </w:r>
            <w:r w:rsidRPr="00055A07">
              <w:rPr>
                <w:i/>
                <w:sz w:val="22"/>
                <w:szCs w:val="22"/>
              </w:rPr>
              <w:t xml:space="preserve">art. 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325 - </w:t>
            </w:r>
            <w:r w:rsidRPr="00055A07">
              <w:rPr>
                <w:i/>
                <w:sz w:val="22"/>
                <w:szCs w:val="22"/>
                <w:lang w:val="ro-RO"/>
              </w:rPr>
              <w:t xml:space="preserve">art. </w:t>
            </w:r>
            <w:r w:rsidRPr="00055A07">
              <w:rPr>
                <w:rStyle w:val="FontStyle26"/>
                <w:i/>
                <w:lang w:val="ro-RO" w:eastAsia="ro-RO"/>
              </w:rPr>
              <w:t>326 din Regulament/</w:t>
            </w:r>
            <w:r w:rsidRPr="00055A07">
              <w:rPr>
                <w:i/>
                <w:sz w:val="22"/>
                <w:szCs w:val="22"/>
                <w:lang w:val="ro-RO"/>
              </w:rPr>
              <w:t xml:space="preserve">Regulamentul privind forma și modul de utilizare a dispozitivelor speciale de marcat, precum și modul de marcare a arborilor sau a unor loturi de arbori, aprobat prin Ordinul ministrului mediului și pădurilor nr. 1.346/2011, publicat în </w:t>
            </w:r>
            <w:r w:rsidR="00FD3856">
              <w:rPr>
                <w:i/>
                <w:sz w:val="22"/>
                <w:szCs w:val="22"/>
                <w:lang w:val="ro-RO"/>
              </w:rPr>
              <w:fldChar w:fldCharType="begin"/>
            </w:r>
            <w:r w:rsidR="00FD3856">
              <w:rPr>
                <w:i/>
                <w:sz w:val="22"/>
                <w:szCs w:val="22"/>
                <w:lang w:val="ro-RO"/>
              </w:rPr>
              <w:instrText xml:space="preserve"> HYPERLINK "https://lege5.ro/App/Document/gi2tknjqgu/ordinul-nr-1346-2011-pentru-aprobarea-regulamentului-privind-forma-si-modul-de-utilizare-a-dispozitivelor-speciale-de-ma</w:instrText>
            </w:r>
            <w:r w:rsidR="00FD3856">
              <w:rPr>
                <w:i/>
                <w:sz w:val="22"/>
                <w:szCs w:val="22"/>
                <w:lang w:val="ro-RO"/>
              </w:rPr>
              <w:instrText xml:space="preserve">rcat-precum-si-modul-de-marcare-a-arborilor-sau-a-unor-loturi-de-arbori?d=18.05.2011" \t "_blank" </w:instrText>
            </w:r>
            <w:r w:rsidR="00FD3856">
              <w:rPr>
                <w:i/>
                <w:sz w:val="22"/>
                <w:szCs w:val="22"/>
                <w:lang w:val="ro-RO"/>
              </w:rPr>
              <w:fldChar w:fldCharType="separate"/>
            </w:r>
            <w:r w:rsidRPr="00055A07">
              <w:rPr>
                <w:i/>
                <w:sz w:val="22"/>
                <w:szCs w:val="22"/>
                <w:lang w:val="ro-RO"/>
              </w:rPr>
              <w:t>Monitorul Oficial al României, Partea I</w:t>
            </w:r>
            <w:r w:rsidR="00FD3856">
              <w:rPr>
                <w:i/>
                <w:sz w:val="22"/>
                <w:szCs w:val="22"/>
                <w:lang w:val="ro-RO"/>
              </w:rPr>
              <w:fldChar w:fldCharType="end"/>
            </w:r>
            <w:r w:rsidRPr="00055A07">
              <w:rPr>
                <w:i/>
                <w:sz w:val="22"/>
                <w:szCs w:val="22"/>
                <w:lang w:val="ro-RO"/>
              </w:rPr>
              <w:t>, nr. 346 din 18 mai 2011, cu modificările și completările ulterioare.</w:t>
            </w:r>
          </w:p>
          <w:p w:rsidR="00D25294" w:rsidRPr="00055A07" w:rsidRDefault="00D25294" w:rsidP="00644D4E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rStyle w:val="FontStyle26"/>
                <w:b/>
                <w:lang w:val="ro-RO" w:eastAsia="ro-RO"/>
              </w:rPr>
            </w:pPr>
            <w:r w:rsidRPr="00055A07">
              <w:rPr>
                <w:rStyle w:val="FontStyle26"/>
                <w:b/>
                <w:lang w:val="ro-RO" w:eastAsia="ro-RO"/>
              </w:rPr>
              <w:t>Eliberarea de duplicate ale înscrisurilor notariale şi reconstituirea actelor orginale</w:t>
            </w:r>
          </w:p>
          <w:p w:rsidR="007C4D90" w:rsidRPr="00055A07" w:rsidRDefault="00D25294" w:rsidP="00644D4E">
            <w:pPr>
              <w:pStyle w:val="Style8"/>
              <w:widowControl/>
              <w:tabs>
                <w:tab w:val="left" w:pos="4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i/>
                <w:sz w:val="22"/>
                <w:szCs w:val="22"/>
              </w:rPr>
              <w:t>art.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 xml:space="preserve"> 154 - </w:t>
            </w:r>
            <w:r w:rsidRPr="00055A07">
              <w:rPr>
                <w:i/>
                <w:sz w:val="22"/>
                <w:szCs w:val="22"/>
              </w:rPr>
              <w:t xml:space="preserve">art. </w:t>
            </w:r>
            <w:r w:rsidRPr="00055A07">
              <w:rPr>
                <w:rStyle w:val="FontStyle25"/>
                <w:b w:val="0"/>
                <w:bCs w:val="0"/>
                <w:i/>
                <w:lang w:val="ro-RO" w:eastAsia="ro-RO"/>
              </w:rPr>
              <w:t>155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in Lege / </w:t>
            </w:r>
            <w:r w:rsidRPr="00055A07">
              <w:rPr>
                <w:i/>
                <w:sz w:val="22"/>
                <w:szCs w:val="22"/>
              </w:rPr>
              <w:t>art.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328 - art. 329 din Regulament/art. 285 Cod de procedură civilă.</w:t>
            </w:r>
          </w:p>
        </w:tc>
        <w:tc>
          <w:tcPr>
            <w:tcW w:w="2126" w:type="dxa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Petronela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Cazan</w:t>
            </w:r>
            <w:proofErr w:type="spellEnd"/>
          </w:p>
        </w:tc>
      </w:tr>
      <w:tr w:rsidR="00055A07" w:rsidRPr="00055A07" w:rsidTr="006C2AFE">
        <w:trPr>
          <w:trHeight w:val="564"/>
        </w:trPr>
        <w:tc>
          <w:tcPr>
            <w:tcW w:w="86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Vineri</w:t>
            </w:r>
            <w:proofErr w:type="spellEnd"/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21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15,00-19,00</w:t>
            </w:r>
          </w:p>
        </w:tc>
        <w:tc>
          <w:tcPr>
            <w:tcW w:w="9497" w:type="dxa"/>
            <w:vAlign w:val="center"/>
          </w:tcPr>
          <w:p w:rsidR="005E45E2" w:rsidRPr="00055A07" w:rsidRDefault="005E45E2" w:rsidP="005E45E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persoanele</w:t>
            </w:r>
            <w:proofErr w:type="spellEnd"/>
          </w:p>
          <w:p w:rsidR="005E45E2" w:rsidRPr="00055A07" w:rsidRDefault="005E45E2" w:rsidP="005E45E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>Persoana fizică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>: Capacitatea de folosință a persoanei fizice; Capacitatea de exercițiu a persoanei fizice; Ocrotirea persoanei fizice prin mijloace de drept civil;</w:t>
            </w:r>
          </w:p>
          <w:p w:rsidR="005E45E2" w:rsidRPr="00055A07" w:rsidRDefault="005E45E2" w:rsidP="005E45E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Persoana juridică: 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>Capacitatea de folosință a persoanei juridice; Capacitatea de exercițiu a persoanei juridice</w:t>
            </w:r>
            <w:r w:rsidR="00FC50B4" w:rsidRPr="00055A07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  <w:p w:rsidR="004648D0" w:rsidRPr="00055A07" w:rsidRDefault="004648D0" w:rsidP="0033635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</w:t>
            </w:r>
            <w:r w:rsidR="00F2252F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F2252F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teoria</w:t>
            </w:r>
            <w:proofErr w:type="spellEnd"/>
            <w:r w:rsidR="00F2252F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2252F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generală</w:t>
            </w:r>
            <w:proofErr w:type="spellEnd"/>
            <w:r w:rsidR="00F2252F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F2252F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</w:p>
          <w:p w:rsidR="00B54AA7" w:rsidRPr="00055A07" w:rsidRDefault="00336358" w:rsidP="0033635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Executarea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4648D0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–</w:t>
            </w: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plata</w:t>
            </w:r>
            <w:proofErr w:type="spellEnd"/>
            <w:r w:rsidR="004648D0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</w:tc>
        <w:tc>
          <w:tcPr>
            <w:tcW w:w="2126" w:type="dxa"/>
            <w:vAlign w:val="center"/>
          </w:tcPr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B54AA7" w:rsidRPr="00055A07" w:rsidRDefault="00B54AA7" w:rsidP="00B54AA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Petronela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Cazan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22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iunie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9,00-13,00</w:t>
            </w:r>
          </w:p>
        </w:tc>
        <w:tc>
          <w:tcPr>
            <w:tcW w:w="9497" w:type="dxa"/>
            <w:vAlign w:val="center"/>
          </w:tcPr>
          <w:p w:rsidR="00EB27D9" w:rsidRPr="00055A07" w:rsidRDefault="00EB27D9" w:rsidP="00EB27D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Drepturile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reale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principale</w:t>
            </w:r>
            <w:proofErr w:type="spellEnd"/>
          </w:p>
          <w:p w:rsidR="00EB27D9" w:rsidRPr="00055A07" w:rsidRDefault="00EB27D9" w:rsidP="00EB27D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>Dreptul de proprietate privată;</w:t>
            </w:r>
          </w:p>
          <w:p w:rsidR="00EB27D9" w:rsidRPr="00055A07" w:rsidRDefault="00EB27D9" w:rsidP="00EB27D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>Dreptul de proprietate publică;</w:t>
            </w:r>
          </w:p>
          <w:p w:rsidR="00EB27D9" w:rsidRPr="00055A07" w:rsidRDefault="00EB27D9" w:rsidP="00EB27D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>Modalități juridice ale dreptului de proprietate;</w:t>
            </w:r>
          </w:p>
          <w:p w:rsidR="00F25699" w:rsidRPr="00055A07" w:rsidRDefault="00EB27D9" w:rsidP="00EB27D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>Dezmembrămintele dreptului de proprietate: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 xml:space="preserve"> Dreptul de s</w:t>
            </w:r>
            <w:r w:rsidR="00F25699" w:rsidRPr="00055A07">
              <w:rPr>
                <w:rFonts w:ascii="Tahoma" w:hAnsi="Tahoma" w:cs="Tahoma"/>
                <w:bCs/>
                <w:sz w:val="22"/>
                <w:szCs w:val="22"/>
              </w:rPr>
              <w:t>uperficie; Dreptul de uzufruct;</w:t>
            </w:r>
          </w:p>
          <w:p w:rsidR="00EB27D9" w:rsidRPr="00055A07" w:rsidRDefault="00EB27D9" w:rsidP="00EB27D9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>Publicitatea imobiliară</w:t>
            </w:r>
            <w:r w:rsidR="00637DF3" w:rsidRPr="00055A07">
              <w:rPr>
                <w:rFonts w:ascii="Tahoma" w:hAnsi="Tahoma" w:cs="Tahoma"/>
                <w:bCs/>
                <w:sz w:val="22"/>
                <w:szCs w:val="22"/>
              </w:rPr>
              <w:t>: Î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>nscrierile în cartea funciară</w:t>
            </w:r>
            <w:r w:rsidR="004648D0" w:rsidRPr="00055A07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Ioana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Lambrina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Vidican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22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13,30-17,30</w:t>
            </w:r>
          </w:p>
        </w:tc>
        <w:tc>
          <w:tcPr>
            <w:tcW w:w="9497" w:type="dxa"/>
            <w:vAlign w:val="center"/>
          </w:tcPr>
          <w:p w:rsidR="00B642FB" w:rsidRPr="00055A07" w:rsidRDefault="00B642FB" w:rsidP="00B642F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LEGISLAŢIA NOTARIALĂ</w:t>
            </w:r>
          </w:p>
          <w:p w:rsidR="00EB27D9" w:rsidRPr="00055A07" w:rsidRDefault="00EB27D9" w:rsidP="00B772E4">
            <w:pPr>
              <w:pStyle w:val="Style3"/>
              <w:widowControl/>
              <w:spacing w:before="19" w:line="240" w:lineRule="auto"/>
              <w:jc w:val="left"/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t>Arh</w:t>
            </w:r>
            <w:r w:rsidR="00B17057" w:rsidRPr="00055A07">
              <w:rPr>
                <w:rStyle w:val="FontStyle25"/>
                <w:lang w:val="ro-RO" w:eastAsia="ro-RO"/>
              </w:rPr>
              <w:t>iva și Evidenț</w:t>
            </w:r>
            <w:r w:rsidRPr="00055A07">
              <w:rPr>
                <w:rStyle w:val="FontStyle25"/>
                <w:lang w:val="ro-RO" w:eastAsia="ro-RO"/>
              </w:rPr>
              <w:t>a Activit</w:t>
            </w:r>
            <w:r w:rsidR="00B17057" w:rsidRPr="00055A07">
              <w:rPr>
                <w:rStyle w:val="FontStyle25"/>
                <w:lang w:val="ro-RO" w:eastAsia="ro-RO"/>
              </w:rPr>
              <w:t>ăț</w:t>
            </w:r>
            <w:r w:rsidRPr="00055A07">
              <w:rPr>
                <w:rStyle w:val="FontStyle25"/>
                <w:lang w:val="ro-RO" w:eastAsia="ro-RO"/>
              </w:rPr>
              <w:t>ii Notariale</w:t>
            </w:r>
          </w:p>
          <w:p w:rsidR="00EB27D9" w:rsidRPr="00055A07" w:rsidRDefault="0067000C" w:rsidP="00B772E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: art. 15</w:t>
            </w:r>
            <w:r w:rsidR="00B17057" w:rsidRPr="00055A07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-1</w:t>
            </w:r>
            <w:r w:rsidR="00B17057" w:rsidRPr="00055A07">
              <w:rPr>
                <w:rFonts w:ascii="Tahoma" w:hAnsi="Tahoma" w:cs="Tahoma"/>
                <w:sz w:val="22"/>
                <w:szCs w:val="22"/>
                <w:lang w:val="en-US"/>
              </w:rPr>
              <w:t>62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/art.97 –art.</w:t>
            </w:r>
            <w:r w:rsidR="00B17057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142 din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Regulament</w:t>
            </w:r>
            <w:proofErr w:type="spellEnd"/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Ioana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Lambrina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Vidican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Duminic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</w:rPr>
              <w:t>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23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7D1E5E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9,00-14</w:t>
            </w:r>
            <w:r w:rsidR="00EB27D9" w:rsidRPr="00055A07">
              <w:rPr>
                <w:rFonts w:ascii="Tahoma" w:hAnsi="Tahoma" w:cs="Tahoma"/>
                <w:sz w:val="22"/>
                <w:szCs w:val="22"/>
                <w:lang w:val="en-US"/>
              </w:rPr>
              <w:t>,00</w:t>
            </w:r>
          </w:p>
        </w:tc>
        <w:tc>
          <w:tcPr>
            <w:tcW w:w="9497" w:type="dxa"/>
            <w:vAlign w:val="center"/>
          </w:tcPr>
          <w:p w:rsidR="00804B44" w:rsidRPr="00055A07" w:rsidRDefault="00804B44" w:rsidP="0007755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-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Succesiuni</w:t>
            </w:r>
            <w:proofErr w:type="spellEnd"/>
          </w:p>
          <w:p w:rsidR="0007755E" w:rsidRPr="00055A07" w:rsidRDefault="0007755E" w:rsidP="0007755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Moștenirea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legală</w:t>
            </w:r>
            <w:proofErr w:type="spellEnd"/>
          </w:p>
          <w:p w:rsidR="0007755E" w:rsidRPr="00055A07" w:rsidRDefault="0007755E" w:rsidP="0007755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Principiile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generale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devoluțiunii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legale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moștenirii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804B44" w:rsidRPr="00055A07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eprezentarea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succesorală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804B44" w:rsidRPr="00055A07">
              <w:rPr>
                <w:rFonts w:ascii="Tahoma" w:hAnsi="Tahoma" w:cs="Tahoma"/>
                <w:sz w:val="22"/>
                <w:szCs w:val="22"/>
                <w:lang w:val="en-US"/>
              </w:rPr>
              <w:t>Cl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asa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I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moștenitori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legali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804B44"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lasa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 II a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moștenitori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legali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804B44"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lasa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 III a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moștenitori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legali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804B44"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lasa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 IV a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moștenitori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legali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F44A67" w:rsidRPr="00055A07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repturile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succesorale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soțului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supraviețuitor</w:t>
            </w:r>
            <w:proofErr w:type="spellEnd"/>
          </w:p>
          <w:p w:rsidR="0007755E" w:rsidRPr="00055A07" w:rsidRDefault="0007755E" w:rsidP="0007755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Moștenirea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testamentară</w:t>
            </w:r>
            <w:proofErr w:type="spellEnd"/>
          </w:p>
          <w:p w:rsidR="00EB27D9" w:rsidRPr="00055A07" w:rsidRDefault="00F44A67" w:rsidP="0007755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oțiunea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testament;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ondiții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validitate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F</w:t>
            </w:r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eluri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r w:rsidR="001870BD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testament;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egatul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noțiune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desemnarea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legatarului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clasificare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caducitatea</w:t>
            </w:r>
            <w:proofErr w:type="spellEnd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755E" w:rsidRPr="00055A07">
              <w:rPr>
                <w:rFonts w:ascii="Tahoma" w:hAnsi="Tahoma" w:cs="Tahoma"/>
                <w:sz w:val="22"/>
                <w:szCs w:val="22"/>
                <w:lang w:val="en-US"/>
              </w:rPr>
              <w:t>legatului</w:t>
            </w:r>
            <w:proofErr w:type="spellEnd"/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Petronela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Cazan</w:t>
            </w:r>
            <w:proofErr w:type="spellEnd"/>
          </w:p>
        </w:tc>
      </w:tr>
      <w:tr w:rsidR="00055A07" w:rsidRPr="00055A07" w:rsidTr="006C2AFE">
        <w:trPr>
          <w:trHeight w:val="422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Vineri</w:t>
            </w:r>
            <w:proofErr w:type="spellEnd"/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28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15,00-19,00</w:t>
            </w:r>
          </w:p>
        </w:tc>
        <w:tc>
          <w:tcPr>
            <w:tcW w:w="9497" w:type="dxa"/>
            <w:vAlign w:val="center"/>
          </w:tcPr>
          <w:p w:rsidR="00F2252F" w:rsidRPr="00055A07" w:rsidRDefault="00F2252F" w:rsidP="00CD6B0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–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teoria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generală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</w:p>
          <w:p w:rsidR="00CD6B02" w:rsidRPr="00055A07" w:rsidRDefault="00CD6B02" w:rsidP="00CD6B0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Transmisiunea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transformarea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  <w:r w:rsidR="00667CB1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</w:p>
          <w:p w:rsidR="00EB27D9" w:rsidRPr="00055A07" w:rsidRDefault="00F2252F" w:rsidP="00667CB1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>esiunea</w:t>
            </w:r>
            <w:proofErr w:type="spellEnd"/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>creanță</w:t>
            </w:r>
            <w:proofErr w:type="spellEnd"/>
            <w:r w:rsidR="00667CB1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>ubrogația</w:t>
            </w:r>
            <w:proofErr w:type="spellEnd"/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7CB1" w:rsidRPr="00055A07">
              <w:rPr>
                <w:rFonts w:ascii="Tahoma" w:hAnsi="Tahoma" w:cs="Tahoma"/>
                <w:sz w:val="22"/>
                <w:szCs w:val="22"/>
                <w:lang w:val="en-US"/>
              </w:rPr>
              <w:t>personal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ă</w:t>
            </w:r>
            <w:proofErr w:type="spellEnd"/>
            <w:r w:rsidR="00667CB1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</w:t>
            </w:r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>reluarea</w:t>
            </w:r>
            <w:proofErr w:type="spellEnd"/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>datoriei</w:t>
            </w:r>
            <w:proofErr w:type="spellEnd"/>
            <w:r w:rsidR="00667CB1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637DF3" w:rsidRPr="00055A07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="00CD6B02" w:rsidRPr="00055A07">
              <w:rPr>
                <w:rFonts w:ascii="Tahoma" w:hAnsi="Tahoma" w:cs="Tahoma"/>
                <w:sz w:val="22"/>
                <w:szCs w:val="22"/>
                <w:lang w:val="en-US"/>
              </w:rPr>
              <w:t>ovația</w:t>
            </w:r>
            <w:proofErr w:type="spellEnd"/>
            <w:r w:rsidR="00637DF3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667CB1" w:rsidRPr="00055A07" w:rsidRDefault="00667CB1" w:rsidP="00667CB1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Stingerea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</w:p>
          <w:p w:rsidR="00667CB1" w:rsidRPr="00055A07" w:rsidRDefault="00667CB1" w:rsidP="00637DF3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Compensația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637DF3" w:rsidRPr="00055A07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plată</w:t>
            </w:r>
            <w:proofErr w:type="spellEnd"/>
            <w:r w:rsidR="007F78D6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637DF3" w:rsidRPr="00055A07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emiterea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datorie</w:t>
            </w:r>
            <w:proofErr w:type="spellEnd"/>
            <w:r w:rsidR="00637DF3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Petronela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Cazan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29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iunie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9,00-13,00</w:t>
            </w:r>
          </w:p>
        </w:tc>
        <w:tc>
          <w:tcPr>
            <w:tcW w:w="9497" w:type="dxa"/>
            <w:vAlign w:val="center"/>
          </w:tcPr>
          <w:p w:rsidR="00EB27D9" w:rsidRPr="00055A07" w:rsidRDefault="00EB27D9" w:rsidP="00EB27D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contractele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speciale</w:t>
            </w:r>
            <w:proofErr w:type="spellEnd"/>
          </w:p>
          <w:p w:rsidR="00EB27D9" w:rsidRPr="00055A07" w:rsidRDefault="00EB27D9" w:rsidP="00EB27D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55A07">
              <w:rPr>
                <w:rFonts w:ascii="Tahoma" w:hAnsi="Tahoma" w:cs="Tahoma"/>
                <w:bCs/>
                <w:sz w:val="22"/>
                <w:szCs w:val="22"/>
              </w:rPr>
              <w:t>Contractul de locațiune; Contractul de întreținere; Contractul de tranzacție</w:t>
            </w:r>
          </w:p>
          <w:p w:rsidR="00EB27D9" w:rsidRPr="00055A07" w:rsidRDefault="00EB27D9" w:rsidP="00EB27D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succesiuni</w:t>
            </w:r>
            <w:proofErr w:type="spellEnd"/>
          </w:p>
          <w:p w:rsidR="00EB27D9" w:rsidRPr="00055A07" w:rsidRDefault="00EB27D9" w:rsidP="007F78D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Reguli generale privitoare la moștenire: </w:t>
            </w:r>
            <w:r w:rsidRPr="00055A07">
              <w:rPr>
                <w:rFonts w:ascii="Tahoma" w:hAnsi="Tahoma" w:cs="Tahoma"/>
                <w:bCs/>
                <w:sz w:val="22"/>
                <w:szCs w:val="22"/>
              </w:rPr>
              <w:t>Felurile moștenirii; Deschiderea moștenirii; Capacitatea succesorală; Nedemnitatea succesorală</w:t>
            </w: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univ.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dr.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Manuela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Tăbăraș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29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13,30-17,30</w:t>
            </w:r>
          </w:p>
        </w:tc>
        <w:tc>
          <w:tcPr>
            <w:tcW w:w="9497" w:type="dxa"/>
            <w:vAlign w:val="center"/>
          </w:tcPr>
          <w:p w:rsidR="007F78D6" w:rsidRPr="00055A07" w:rsidRDefault="007F78D6" w:rsidP="007F78D6">
            <w:pPr>
              <w:pStyle w:val="Style21"/>
              <w:widowControl/>
              <w:tabs>
                <w:tab w:val="left" w:pos="454"/>
              </w:tabs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t>PROCEDURILE NOTARIALE</w:t>
            </w:r>
          </w:p>
          <w:p w:rsidR="007F78D6" w:rsidRPr="00055A07" w:rsidRDefault="007F78D6" w:rsidP="007F78D6">
            <w:pPr>
              <w:pStyle w:val="Style21"/>
              <w:widowControl/>
              <w:tabs>
                <w:tab w:val="left" w:pos="454"/>
              </w:tabs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t>DISPOZIȚII COMU</w:t>
            </w:r>
            <w:r w:rsidR="00B642FB" w:rsidRPr="00055A07">
              <w:rPr>
                <w:rStyle w:val="FontStyle25"/>
                <w:lang w:val="ro-RO" w:eastAsia="ro-RO"/>
              </w:rPr>
              <w:t>NE/GENERALE. REDACTAREA ACTELOR</w:t>
            </w:r>
          </w:p>
          <w:p w:rsidR="007F78D6" w:rsidRPr="00055A07" w:rsidRDefault="007F78D6" w:rsidP="007F78D6">
            <w:pPr>
              <w:pStyle w:val="Style8"/>
              <w:widowControl/>
              <w:tabs>
                <w:tab w:val="left" w:pos="1678"/>
              </w:tabs>
              <w:spacing w:line="240" w:lineRule="auto"/>
              <w:ind w:firstLine="0"/>
              <w:jc w:val="both"/>
              <w:rPr>
                <w:rStyle w:val="FontStyle26"/>
                <w:i/>
                <w:lang w:val="ro-RO" w:eastAsia="ro-RO"/>
              </w:rPr>
            </w:pPr>
            <w:r w:rsidRPr="00055A07">
              <w:rPr>
                <w:rStyle w:val="FontStyle26"/>
                <w:i/>
                <w:lang w:val="ro-RO" w:eastAsia="ro-RO"/>
              </w:rPr>
              <w:t xml:space="preserve">Exemplificativ şi nelimitativ: </w:t>
            </w:r>
            <w:r w:rsidRPr="00055A07">
              <w:rPr>
                <w:i/>
                <w:sz w:val="22"/>
                <w:szCs w:val="22"/>
              </w:rPr>
              <w:t xml:space="preserve">art. 77 - </w:t>
            </w:r>
            <w:proofErr w:type="gramStart"/>
            <w:r w:rsidRPr="00055A07">
              <w:rPr>
                <w:i/>
                <w:sz w:val="22"/>
                <w:szCs w:val="22"/>
              </w:rPr>
              <w:t>art</w:t>
            </w:r>
            <w:proofErr w:type="gramEnd"/>
            <w:r w:rsidRPr="00055A07">
              <w:rPr>
                <w:i/>
                <w:sz w:val="22"/>
                <w:szCs w:val="22"/>
              </w:rPr>
              <w:t>. 88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din Lege/</w:t>
            </w:r>
            <w:r w:rsidRPr="00055A07">
              <w:rPr>
                <w:i/>
                <w:sz w:val="22"/>
                <w:szCs w:val="22"/>
              </w:rPr>
              <w:t>art. 211-art.</w:t>
            </w:r>
            <w:r w:rsidRPr="00055A07">
              <w:rPr>
                <w:rStyle w:val="FontStyle26"/>
                <w:i/>
                <w:lang w:val="ro-RO" w:eastAsia="ro-RO"/>
              </w:rPr>
              <w:t xml:space="preserve"> 224 din Regulament</w:t>
            </w:r>
          </w:p>
          <w:p w:rsidR="007F78D6" w:rsidRPr="00055A07" w:rsidRDefault="007F78D6" w:rsidP="007F78D6">
            <w:pPr>
              <w:pStyle w:val="Style21"/>
              <w:widowControl/>
              <w:tabs>
                <w:tab w:val="left" w:pos="454"/>
              </w:tabs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t>AUTENTIFICAREA ÎNSCRISURILOR</w:t>
            </w:r>
          </w:p>
          <w:p w:rsidR="007F78D6" w:rsidRPr="00055A07" w:rsidRDefault="007F78D6" w:rsidP="007F78D6">
            <w:pPr>
              <w:jc w:val="both"/>
              <w:rPr>
                <w:rStyle w:val="FontStyle26"/>
                <w:i/>
              </w:rPr>
            </w:pPr>
            <w:r w:rsidRPr="00055A07">
              <w:rPr>
                <w:rStyle w:val="FontStyle26"/>
                <w:i/>
              </w:rPr>
              <w:lastRenderedPageBreak/>
              <w:t xml:space="preserve">Exemplificativ şi nelimitativ: </w:t>
            </w:r>
            <w:r w:rsidRPr="00055A07">
              <w:rPr>
                <w:rFonts w:ascii="Tahoma" w:hAnsi="Tahoma" w:cs="Tahoma"/>
                <w:i/>
                <w:sz w:val="22"/>
                <w:szCs w:val="22"/>
              </w:rPr>
              <w:t xml:space="preserve">art. 89–art. 100 </w:t>
            </w:r>
            <w:r w:rsidRPr="00055A07">
              <w:rPr>
                <w:rStyle w:val="FontStyle26"/>
                <w:i/>
              </w:rPr>
              <w:t>din Lege/</w:t>
            </w:r>
            <w:r w:rsidRPr="00055A07">
              <w:rPr>
                <w:rFonts w:ascii="Tahoma" w:hAnsi="Tahoma" w:cs="Tahoma"/>
                <w:i/>
                <w:sz w:val="22"/>
                <w:szCs w:val="22"/>
              </w:rPr>
              <w:t>art. 225-art. 232</w:t>
            </w:r>
            <w:r w:rsidRPr="00055A07">
              <w:rPr>
                <w:rStyle w:val="FontStyle26"/>
                <w:i/>
              </w:rPr>
              <w:t xml:space="preserve"> din Regulament/ art. 269, art. 638-639 Cod de procedură civilă</w:t>
            </w:r>
          </w:p>
          <w:p w:rsidR="00EB27D9" w:rsidRPr="00055A07" w:rsidRDefault="007F78D6" w:rsidP="007F78D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PROCEDURA MEDIERII ȘI ARBITRAJULUI PENTRU SOLUȚIONAREA LITIGIILOR INTERPROFESIONALE</w:t>
            </w:r>
          </w:p>
          <w:p w:rsidR="00D36AA4" w:rsidRPr="00055A07" w:rsidRDefault="00D36AA4" w:rsidP="00D56333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Style w:val="FontStyle26"/>
                <w:i/>
              </w:rPr>
              <w:t xml:space="preserve">Exemplificativ şi nelimitativ: </w:t>
            </w:r>
            <w:r w:rsidRPr="00055A07">
              <w:rPr>
                <w:rFonts w:ascii="Tahoma" w:hAnsi="Tahoma" w:cs="Tahoma"/>
                <w:i/>
                <w:sz w:val="22"/>
                <w:szCs w:val="22"/>
              </w:rPr>
              <w:t xml:space="preserve">art. 133 </w:t>
            </w:r>
            <w:r w:rsidRPr="00055A07">
              <w:rPr>
                <w:rStyle w:val="FontStyle26"/>
                <w:i/>
              </w:rPr>
              <w:t>din Lege/</w:t>
            </w:r>
            <w:r w:rsidRPr="00055A07">
              <w:rPr>
                <w:rFonts w:ascii="Tahoma" w:hAnsi="Tahoma" w:cs="Tahoma"/>
                <w:i/>
                <w:sz w:val="22"/>
                <w:szCs w:val="22"/>
              </w:rPr>
              <w:t xml:space="preserve">art. 289 </w:t>
            </w:r>
            <w:r w:rsidR="00D56333" w:rsidRPr="00055A07">
              <w:rPr>
                <w:rFonts w:ascii="Tahoma" w:hAnsi="Tahoma" w:cs="Tahoma"/>
                <w:i/>
                <w:sz w:val="22"/>
                <w:szCs w:val="22"/>
              </w:rPr>
              <w:t>-art. 294</w:t>
            </w:r>
            <w:r w:rsidRPr="00055A07">
              <w:rPr>
                <w:rStyle w:val="FontStyle26"/>
                <w:i/>
              </w:rPr>
              <w:t xml:space="preserve"> din Regulament</w:t>
            </w: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univ.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dr.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Manuela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Tăbăraș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Duminic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</w:rPr>
              <w:t>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30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9,00-13,00</w:t>
            </w:r>
          </w:p>
        </w:tc>
        <w:tc>
          <w:tcPr>
            <w:tcW w:w="9497" w:type="dxa"/>
            <w:vAlign w:val="center"/>
          </w:tcPr>
          <w:p w:rsidR="00F44A67" w:rsidRPr="00055A07" w:rsidRDefault="00F44A67" w:rsidP="006A5BE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-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Succesiuni</w:t>
            </w:r>
            <w:proofErr w:type="spellEnd"/>
          </w:p>
          <w:p w:rsidR="006A5BE7" w:rsidRPr="00055A07" w:rsidRDefault="006A5BE7" w:rsidP="006A5BE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Dreptul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opțiune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succesorală</w:t>
            </w:r>
            <w:proofErr w:type="spellEnd"/>
          </w:p>
          <w:p w:rsidR="00EB27D9" w:rsidRPr="00055A07" w:rsidRDefault="006A5BE7" w:rsidP="006A5BE7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Noțiune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ubiec</w:t>
            </w:r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te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ondiții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validitate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aractere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juridice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T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ermenul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opțiune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xercitarea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dreptului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opțiune</w:t>
            </w:r>
            <w:proofErr w:type="spellEnd"/>
            <w:r w:rsidR="007361F6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917A86" w:rsidRPr="00055A07" w:rsidRDefault="00917A86" w:rsidP="00917A86">
            <w:pPr>
              <w:pStyle w:val="Style21"/>
              <w:widowControl/>
              <w:tabs>
                <w:tab w:val="left" w:pos="454"/>
              </w:tabs>
              <w:rPr>
                <w:rStyle w:val="FontStyle25"/>
                <w:lang w:val="ro-RO" w:eastAsia="ro-RO"/>
              </w:rPr>
            </w:pPr>
            <w:r w:rsidRPr="00055A07">
              <w:rPr>
                <w:rStyle w:val="FontStyle25"/>
                <w:lang w:val="ro-RO" w:eastAsia="ro-RO"/>
              </w:rPr>
              <w:t>PROCEDURILE NOTARIALE</w:t>
            </w:r>
          </w:p>
          <w:p w:rsidR="00FC73EF" w:rsidRPr="00055A07" w:rsidRDefault="00FC73EF" w:rsidP="00FC73E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PROCEDURA SUCCESORALĂ NOTARIALĂ</w:t>
            </w:r>
          </w:p>
          <w:p w:rsidR="00FC73EF" w:rsidRPr="00055A07" w:rsidRDefault="00FC73EF" w:rsidP="00FC73EF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101 –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118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/art. 233 – 259, art. 330 -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331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/art 1042 C. civil/art. 193 Cod de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procedură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civilă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art. 427 Cod de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procedură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civilă</w:t>
            </w:r>
            <w:proofErr w:type="spellEnd"/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Ioana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Lambrina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Vidican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Vineri</w:t>
            </w:r>
            <w:proofErr w:type="spellEnd"/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05 iulie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15,00-19,00</w:t>
            </w:r>
          </w:p>
        </w:tc>
        <w:tc>
          <w:tcPr>
            <w:tcW w:w="9497" w:type="dxa"/>
            <w:vAlign w:val="center"/>
          </w:tcPr>
          <w:p w:rsidR="0046369B" w:rsidRPr="00055A07" w:rsidRDefault="0046369B" w:rsidP="0046369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Drept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civil –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teoria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generală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</w:p>
          <w:p w:rsidR="00EB27D9" w:rsidRPr="00055A07" w:rsidRDefault="001E66B6" w:rsidP="00295F7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Garantarea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obligațiilor</w:t>
            </w:r>
            <w:proofErr w:type="spellEnd"/>
            <w:r w:rsidR="000F78AB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295F7B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Fideiusiunea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295F7B" w:rsidRPr="00055A07">
              <w:rPr>
                <w:rFonts w:ascii="Tahoma" w:hAnsi="Tahoma" w:cs="Tahoma"/>
                <w:sz w:val="22"/>
                <w:szCs w:val="22"/>
                <w:lang w:val="en-US"/>
              </w:rPr>
              <w:t>I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poteca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fără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executarea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ipotecii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Petronela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Cazan</w:t>
            </w:r>
            <w:proofErr w:type="spellEnd"/>
          </w:p>
        </w:tc>
      </w:tr>
      <w:tr w:rsidR="00055A07" w:rsidRPr="00055A07" w:rsidTr="006C2AFE">
        <w:trPr>
          <w:trHeight w:val="422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06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iulie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9,00-13,00</w:t>
            </w:r>
          </w:p>
        </w:tc>
        <w:tc>
          <w:tcPr>
            <w:tcW w:w="9497" w:type="dxa"/>
            <w:vAlign w:val="center"/>
          </w:tcPr>
          <w:p w:rsidR="003378E0" w:rsidRPr="00055A07" w:rsidRDefault="003378E0" w:rsidP="003378E0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LEGISLAŢIA NOTARIALĂ</w:t>
            </w:r>
          </w:p>
          <w:p w:rsidR="00975AA2" w:rsidRPr="00055A07" w:rsidRDefault="00975AA2" w:rsidP="00975AA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CONTROLUL ACTIVITATII NOTARIALE</w:t>
            </w:r>
          </w:p>
          <w:p w:rsidR="00EB27D9" w:rsidRPr="00055A07" w:rsidRDefault="00975AA2" w:rsidP="00975AA2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156-158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/ art. 332-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334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</w:t>
            </w:r>
            <w:proofErr w:type="spellEnd"/>
          </w:p>
          <w:p w:rsidR="00854B86" w:rsidRPr="00055A07" w:rsidRDefault="00854B86" w:rsidP="00854B8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RĂSPUNDEREA NOTARILOR PUBLICI</w:t>
            </w:r>
          </w:p>
          <w:p w:rsidR="00975AA2" w:rsidRPr="00055A07" w:rsidRDefault="00854B86" w:rsidP="00854B86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37, art. 72 -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76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/ art. 15 – 19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Statut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/ art. 96, art. 195-210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</w:t>
            </w:r>
            <w:proofErr w:type="spellEnd"/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Ioana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Lambrina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Vidican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Pr="00055A07">
              <w:rPr>
                <w:rFonts w:ascii="Tahoma" w:hAnsi="Tahoma" w:cs="Tahoma"/>
                <w:sz w:val="22"/>
                <w:szCs w:val="22"/>
              </w:rPr>
              <w:t>âmbătă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06 iulie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13,30-17,30</w:t>
            </w:r>
          </w:p>
        </w:tc>
        <w:tc>
          <w:tcPr>
            <w:tcW w:w="9497" w:type="dxa"/>
            <w:vAlign w:val="center"/>
          </w:tcPr>
          <w:p w:rsidR="00CF02C2" w:rsidRPr="00055A07" w:rsidRDefault="00CF02C2" w:rsidP="00CF02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LEGISLAŢIA NOTARIALĂ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ORGANIZAREA ACTIVITĂŢII NOTARIALE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Activitatea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Notariala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Dispoziții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Generale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. 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Competența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4B6A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notarului</w:t>
            </w:r>
            <w:proofErr w:type="spellEnd"/>
            <w:r w:rsidR="00C74B6A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public</w:t>
            </w:r>
          </w:p>
          <w:p w:rsidR="00CF02C2" w:rsidRPr="00055A07" w:rsidRDefault="007D38D1" w:rsidP="00CF02C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Organizarea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activității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</w:t>
            </w:r>
            <w:r w:rsidR="00CF02C2"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ublici</w:t>
            </w:r>
            <w:proofErr w:type="spellEnd"/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Organizarea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funcționarea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evidența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publici</w:t>
            </w:r>
            <w:proofErr w:type="spellEnd"/>
            <w:r w:rsidR="007D38D1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Actualizarea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numărului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notari</w:t>
            </w:r>
            <w:proofErr w:type="spellEnd"/>
            <w:r w:rsidR="007E0061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0061" w:rsidRPr="00055A07">
              <w:rPr>
                <w:rFonts w:ascii="Tahoma" w:hAnsi="Tahoma" w:cs="Tahoma"/>
                <w:sz w:val="22"/>
                <w:szCs w:val="22"/>
                <w:lang w:val="en-US"/>
              </w:rPr>
              <w:t>publici</w:t>
            </w:r>
            <w:proofErr w:type="spellEnd"/>
            <w:r w:rsidR="007D38D1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Dobândirea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calității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  <w:r w:rsidR="007D38D1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Numirea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funcția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  <w:r w:rsidR="007D38D1" w:rsidRPr="00055A07">
              <w:rPr>
                <w:rFonts w:ascii="Tahoma" w:hAnsi="Tahoma" w:cs="Tahoma"/>
                <w:sz w:val="22"/>
                <w:szCs w:val="22"/>
                <w:lang w:val="en-US"/>
              </w:rPr>
              <w:t>;</w:t>
            </w:r>
          </w:p>
          <w:p w:rsidR="007E0061" w:rsidRPr="00055A07" w:rsidRDefault="00CF02C2" w:rsidP="00CF02C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Încetarea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0061" w:rsidRPr="00055A07">
              <w:rPr>
                <w:rFonts w:ascii="Tahoma" w:hAnsi="Tahoma" w:cs="Tahoma"/>
                <w:sz w:val="22"/>
                <w:szCs w:val="22"/>
                <w:lang w:val="en-US"/>
              </w:rPr>
              <w:t>calității</w:t>
            </w:r>
            <w:proofErr w:type="spellEnd"/>
            <w:r w:rsidR="007E0061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7E0061"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="007E0061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public;</w:t>
            </w:r>
          </w:p>
          <w:p w:rsidR="00CF02C2" w:rsidRPr="00055A07" w:rsidRDefault="007E0061" w:rsidP="00CF02C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S</w:t>
            </w:r>
            <w:r w:rsidR="00CF02C2" w:rsidRPr="00055A07">
              <w:rPr>
                <w:rFonts w:ascii="Tahoma" w:hAnsi="Tahoma" w:cs="Tahoma"/>
                <w:sz w:val="22"/>
                <w:szCs w:val="22"/>
                <w:lang w:val="en-US"/>
              </w:rPr>
              <w:t>uspendarea</w:t>
            </w:r>
            <w:proofErr w:type="spellEnd"/>
            <w:r w:rsidR="00CF02C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exercițiul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02C2" w:rsidRPr="00055A07">
              <w:rPr>
                <w:rFonts w:ascii="Tahoma" w:hAnsi="Tahoma" w:cs="Tahoma"/>
                <w:sz w:val="22"/>
                <w:szCs w:val="22"/>
                <w:lang w:val="en-US"/>
              </w:rPr>
              <w:t>funcți</w:t>
            </w:r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ei</w:t>
            </w:r>
            <w:proofErr w:type="spellEnd"/>
            <w:r w:rsidR="00CF02C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CF02C2"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="00CF02C2"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CF02C2" w:rsidRPr="00055A07" w:rsidRDefault="00CF02C2" w:rsidP="00CF02C2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si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1 -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45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activității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notariale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nr</w:t>
            </w:r>
            <w:proofErr w:type="spellEnd"/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36/1995,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republicată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Monitorul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Oficial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României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Partea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I, nr.444 din 18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iunie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2014, cu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modificările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completările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ulterioare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denumită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continuare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; art. 1 –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84, art. 97-107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aplicare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Legii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piblici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activității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notariale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nr.36/1995,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aprobat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Ordinul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ministrului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justiției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2.333/C/2013,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publicat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Monitorul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Oficiaș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alRomâniei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Partea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I, nr.479 din 1 august 2013, cu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modificările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completările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ulterioare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denumit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continuare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</w:t>
            </w:r>
            <w:proofErr w:type="spellEnd"/>
          </w:p>
          <w:p w:rsidR="002A223C" w:rsidRPr="00055A07" w:rsidRDefault="002A223C" w:rsidP="002A223C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DREPTURILE ȘI ÎNDATORIRILE NOTARILOR PUBLICI </w:t>
            </w:r>
          </w:p>
          <w:p w:rsidR="005D2CB2" w:rsidRPr="00055A07" w:rsidRDefault="002A223C" w:rsidP="002A223C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6, art. 9 -10, art. 20, art. 63 –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71, art. 73 lit o)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/ art. 10 - 14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Statutul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Uniunii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Nationale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din Romania,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aprobat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H</w:t>
            </w:r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otărârea</w:t>
            </w:r>
            <w:proofErr w:type="spellEnd"/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Congresului</w:t>
            </w:r>
            <w:proofErr w:type="spellEnd"/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Notarilor</w:t>
            </w:r>
            <w:proofErr w:type="spellEnd"/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7C57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</w:t>
            </w:r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ublici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România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10/2014,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publicată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Monitorul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Oficial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României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Partea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I,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853 din 24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noiembrie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2014, cu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completările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ulterioare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,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denumit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continuare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Statut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/art. 14 -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16, art. 19, art. 23 - 26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Codul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deontologic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România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aprobat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Hotărârea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Congresului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România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nr.9/2015,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publicat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Monitorul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Oficial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României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nr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930 din 16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decembrie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2015, cu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modificările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ulterioare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George Cosmin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Bivol</w:t>
            </w:r>
            <w:proofErr w:type="spellEnd"/>
          </w:p>
        </w:tc>
      </w:tr>
      <w:tr w:rsidR="00055A07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Duminic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</w:rPr>
              <w:t>ă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07 iulie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7D9" w:rsidRPr="00055A07" w:rsidRDefault="000E0680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9,00-11</w:t>
            </w:r>
            <w:r w:rsidR="00EB27D9" w:rsidRPr="00055A07">
              <w:rPr>
                <w:rFonts w:ascii="Tahoma" w:hAnsi="Tahoma" w:cs="Tahoma"/>
                <w:sz w:val="22"/>
                <w:szCs w:val="22"/>
                <w:lang w:val="en-US"/>
              </w:rPr>
              <w:t>,00</w:t>
            </w:r>
          </w:p>
        </w:tc>
        <w:tc>
          <w:tcPr>
            <w:tcW w:w="9497" w:type="dxa"/>
            <w:vAlign w:val="center"/>
          </w:tcPr>
          <w:p w:rsidR="00915F54" w:rsidRPr="00055A07" w:rsidRDefault="00915F54" w:rsidP="00915F5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LEGISLAŢIA NOTARIALĂ</w:t>
            </w:r>
          </w:p>
          <w:p w:rsidR="004643D9" w:rsidRPr="00055A07" w:rsidRDefault="004643D9" w:rsidP="004643D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Camera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Publici</w:t>
            </w:r>
            <w:proofErr w:type="spellEnd"/>
          </w:p>
          <w:p w:rsidR="00EB27D9" w:rsidRPr="00055A07" w:rsidRDefault="004643D9" w:rsidP="004643D9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3, art. 46 – 51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/ art. 143 – </w:t>
            </w:r>
            <w:proofErr w:type="gram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158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</w:t>
            </w:r>
            <w:proofErr w:type="spellEnd"/>
          </w:p>
          <w:p w:rsidR="0027498D" w:rsidRPr="00055A07" w:rsidRDefault="0027498D" w:rsidP="0027498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Uniunea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Naţională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. Casa de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Asigurari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Institutul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Notarial Roman. Casa de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Pensii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Publici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Centrul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National de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Administrare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Registrelor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Notariale</w:t>
            </w:r>
            <w:proofErr w:type="spellEnd"/>
          </w:p>
          <w:p w:rsidR="004643D9" w:rsidRDefault="0027498D" w:rsidP="0027498D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Exemplificativ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nelimitativ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: art. 52 - 62 din </w:t>
            </w:r>
            <w:proofErr w:type="spellStart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Lege</w:t>
            </w:r>
            <w:proofErr w:type="spellEnd"/>
            <w:r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/ art</w:t>
            </w:r>
            <w:r w:rsidR="003378E0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159 - </w:t>
            </w:r>
            <w:proofErr w:type="gramStart"/>
            <w:r w:rsidR="003378E0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art</w:t>
            </w:r>
            <w:proofErr w:type="gramEnd"/>
            <w:r w:rsidR="003378E0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. 194 din </w:t>
            </w:r>
            <w:proofErr w:type="spellStart"/>
            <w:r w:rsidR="003378E0" w:rsidRPr="00055A07">
              <w:rPr>
                <w:rFonts w:ascii="Tahoma" w:hAnsi="Tahoma" w:cs="Tahoma"/>
                <w:i/>
                <w:sz w:val="22"/>
                <w:szCs w:val="22"/>
                <w:lang w:val="en-US"/>
              </w:rPr>
              <w:t>Regulament</w:t>
            </w:r>
            <w:proofErr w:type="spellEnd"/>
          </w:p>
          <w:p w:rsidR="001E730A" w:rsidRPr="001E730A" w:rsidRDefault="001E730A" w:rsidP="001E730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EB27D9" w:rsidRPr="00055A07" w:rsidRDefault="00EB27D9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George Cosmin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Bivol</w:t>
            </w:r>
            <w:proofErr w:type="spellEnd"/>
          </w:p>
        </w:tc>
      </w:tr>
      <w:tr w:rsidR="000E0680" w:rsidRPr="00055A07" w:rsidTr="006C2AFE">
        <w:trPr>
          <w:trHeight w:val="908"/>
        </w:trPr>
        <w:tc>
          <w:tcPr>
            <w:tcW w:w="860" w:type="dxa"/>
            <w:shd w:val="clear" w:color="auto" w:fill="FFFFFF" w:themeFill="background1"/>
            <w:vAlign w:val="center"/>
          </w:tcPr>
          <w:p w:rsidR="000E0680" w:rsidRPr="00055A07" w:rsidRDefault="000E0680" w:rsidP="00EB27D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32A1B" w:rsidRPr="00055A07" w:rsidRDefault="00632A1B" w:rsidP="00632A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Duminic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</w:rPr>
              <w:t>ă</w:t>
            </w:r>
          </w:p>
          <w:p w:rsidR="000E0680" w:rsidRPr="00055A07" w:rsidRDefault="00632A1B" w:rsidP="00632A1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sz w:val="22"/>
                <w:szCs w:val="22"/>
              </w:rPr>
              <w:t>07 iulie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E0680" w:rsidRDefault="00632A1B" w:rsidP="00EB27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11,00-14,00</w:t>
            </w:r>
          </w:p>
        </w:tc>
        <w:tc>
          <w:tcPr>
            <w:tcW w:w="9497" w:type="dxa"/>
            <w:vAlign w:val="center"/>
          </w:tcPr>
          <w:p w:rsidR="000E0680" w:rsidRPr="00055A07" w:rsidRDefault="000E0680" w:rsidP="00632A1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1E730A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RECAPITULARE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GRI</w:t>
            </w:r>
            <w:r w:rsidRPr="001E730A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</w:t>
            </w:r>
          </w:p>
        </w:tc>
        <w:tc>
          <w:tcPr>
            <w:tcW w:w="2126" w:type="dxa"/>
            <w:vAlign w:val="center"/>
          </w:tcPr>
          <w:p w:rsidR="00632A1B" w:rsidRPr="00055A07" w:rsidRDefault="00632A1B" w:rsidP="00632A1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>Notar</w:t>
            </w:r>
            <w:proofErr w:type="spellEnd"/>
            <w:r w:rsidRPr="00055A07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</w:t>
            </w:r>
          </w:p>
          <w:p w:rsidR="000E0680" w:rsidRPr="00055A07" w:rsidRDefault="00632A1B" w:rsidP="0021370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Petronela</w:t>
            </w:r>
            <w:proofErr w:type="spellEnd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A07">
              <w:rPr>
                <w:rFonts w:ascii="Tahoma" w:hAnsi="Tahoma" w:cs="Tahoma"/>
                <w:b/>
                <w:sz w:val="22"/>
                <w:szCs w:val="22"/>
                <w:lang w:val="en-US"/>
              </w:rPr>
              <w:t>Cazan</w:t>
            </w:r>
            <w:proofErr w:type="spellEnd"/>
          </w:p>
        </w:tc>
      </w:tr>
    </w:tbl>
    <w:p w:rsidR="001B2F23" w:rsidRPr="00055A07" w:rsidRDefault="001B2F23" w:rsidP="00DB76AA">
      <w:pPr>
        <w:rPr>
          <w:rFonts w:ascii="Tahoma" w:hAnsi="Tahoma" w:cs="Tahoma"/>
          <w:b/>
          <w:sz w:val="22"/>
          <w:szCs w:val="22"/>
          <w:lang w:val="en-US"/>
        </w:rPr>
      </w:pPr>
    </w:p>
    <w:sectPr w:rsidR="001B2F23" w:rsidRPr="00055A07" w:rsidSect="00D01B05">
      <w:headerReference w:type="default" r:id="rId8"/>
      <w:footerReference w:type="default" r:id="rId9"/>
      <w:pgSz w:w="16839" w:h="11907" w:orient="landscape" w:code="9"/>
      <w:pgMar w:top="1440" w:right="909" w:bottom="835" w:left="1440" w:header="45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56" w:rsidRDefault="00FD3856" w:rsidP="006203FF">
      <w:r>
        <w:separator/>
      </w:r>
    </w:p>
  </w:endnote>
  <w:endnote w:type="continuationSeparator" w:id="0">
    <w:p w:rsidR="00FD3856" w:rsidRDefault="00FD3856" w:rsidP="006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3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80"/>
    </w:tblGrid>
    <w:tr w:rsidR="006203FF" w:rsidRPr="00071D39" w:rsidTr="0016220F">
      <w:trPr>
        <w:trHeight w:val="458"/>
      </w:trPr>
      <w:tc>
        <w:tcPr>
          <w:tcW w:w="5000" w:type="pct"/>
          <w:tcBorders>
            <w:top w:val="single" w:sz="4" w:space="0" w:color="000000" w:themeColor="text1"/>
          </w:tcBorders>
        </w:tcPr>
        <w:p w:rsidR="006203FF" w:rsidRPr="00071D39" w:rsidRDefault="001E1B78" w:rsidP="00071D39">
          <w:pPr>
            <w:pStyle w:val="Footer"/>
            <w:ind w:left="155" w:firstLine="155"/>
            <w:jc w:val="center"/>
            <w:rPr>
              <w:sz w:val="18"/>
            </w:rPr>
          </w:pPr>
          <w:r>
            <w:rPr>
              <w:sz w:val="18"/>
            </w:rPr>
            <w:t>Luigi Cazzavillan</w:t>
          </w:r>
          <w:r w:rsidR="006203FF" w:rsidRPr="00071D39">
            <w:rPr>
              <w:sz w:val="18"/>
            </w:rPr>
            <w:t xml:space="preserve">, </w:t>
          </w:r>
          <w:r>
            <w:rPr>
              <w:sz w:val="18"/>
            </w:rPr>
            <w:t>nr.11</w:t>
          </w:r>
          <w:r w:rsidR="006203FF" w:rsidRPr="00071D39">
            <w:rPr>
              <w:sz w:val="18"/>
            </w:rPr>
            <w:t>,</w:t>
          </w:r>
          <w:r>
            <w:rPr>
              <w:sz w:val="18"/>
            </w:rPr>
            <w:t xml:space="preserve"> etaj 2,</w:t>
          </w:r>
          <w:r w:rsidR="006203FF" w:rsidRPr="00071D39">
            <w:rPr>
              <w:sz w:val="18"/>
            </w:rPr>
            <w:t xml:space="preserve"> Sector 1, BUCUREȘTI-ROMÂNIA</w:t>
          </w:r>
        </w:p>
        <w:p w:rsidR="006203FF" w:rsidRPr="00071D39" w:rsidRDefault="006203FF" w:rsidP="0016220F">
          <w:pPr>
            <w:pStyle w:val="Footer"/>
            <w:jc w:val="center"/>
            <w:rPr>
              <w:sz w:val="18"/>
            </w:rPr>
          </w:pPr>
          <w:r w:rsidRPr="00071D39">
            <w:rPr>
              <w:sz w:val="18"/>
            </w:rPr>
            <w:t>Tel.: +(4031) 437.98.19; 437.98.21 Fax: +(031)437.98.20</w:t>
          </w:r>
          <w:r w:rsidR="0016220F">
            <w:rPr>
              <w:sz w:val="18"/>
            </w:rPr>
            <w:t xml:space="preserve">; </w:t>
          </w:r>
          <w:r w:rsidRPr="00071D39">
            <w:rPr>
              <w:sz w:val="18"/>
            </w:rPr>
            <w:t xml:space="preserve">E-mail: </w:t>
          </w:r>
          <w:hyperlink r:id="rId1" w:history="1">
            <w:r w:rsidRPr="00071D39">
              <w:rPr>
                <w:rStyle w:val="Hyperlink"/>
                <w:sz w:val="18"/>
              </w:rPr>
              <w:t>secretariat@institutulnotarial.ro</w:t>
            </w:r>
          </w:hyperlink>
          <w:r w:rsidRPr="00071D39">
            <w:rPr>
              <w:sz w:val="18"/>
            </w:rPr>
            <w:t xml:space="preserve">; </w:t>
          </w:r>
        </w:p>
      </w:tc>
    </w:tr>
  </w:tbl>
  <w:p w:rsidR="006203FF" w:rsidRPr="00071D39" w:rsidRDefault="006203FF" w:rsidP="00071D3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56" w:rsidRDefault="00FD3856" w:rsidP="006203FF">
      <w:r>
        <w:separator/>
      </w:r>
    </w:p>
  </w:footnote>
  <w:footnote w:type="continuationSeparator" w:id="0">
    <w:p w:rsidR="00FD3856" w:rsidRDefault="00FD3856" w:rsidP="0062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9" w:rsidRDefault="00D1584D" w:rsidP="00071D39">
    <w:pPr>
      <w:pStyle w:val="Header"/>
      <w:ind w:left="-360"/>
    </w:pPr>
    <w:r>
      <w:rPr>
        <w:noProof/>
        <w:lang w:val="en-US" w:eastAsia="en-US"/>
      </w:rPr>
      <w:drawing>
        <wp:inline distT="0" distB="0" distL="0" distR="0" wp14:anchorId="7E957CB0" wp14:editId="47DD7368">
          <wp:extent cx="1304653" cy="895350"/>
          <wp:effectExtent l="0" t="0" r="0" b="0"/>
          <wp:docPr id="2" name="Picture 2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304"/>
    <w:multiLevelType w:val="hybridMultilevel"/>
    <w:tmpl w:val="A26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D5E"/>
    <w:multiLevelType w:val="hybridMultilevel"/>
    <w:tmpl w:val="8790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D43"/>
    <w:multiLevelType w:val="hybridMultilevel"/>
    <w:tmpl w:val="87A89F22"/>
    <w:lvl w:ilvl="0" w:tplc="7410F5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32C9"/>
    <w:multiLevelType w:val="hybridMultilevel"/>
    <w:tmpl w:val="08062C36"/>
    <w:lvl w:ilvl="0" w:tplc="65A0488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3A2211"/>
    <w:multiLevelType w:val="hybridMultilevel"/>
    <w:tmpl w:val="8E5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46F"/>
    <w:multiLevelType w:val="hybridMultilevel"/>
    <w:tmpl w:val="9F9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281"/>
    <w:multiLevelType w:val="hybridMultilevel"/>
    <w:tmpl w:val="69E85AD2"/>
    <w:lvl w:ilvl="0" w:tplc="168EA1BE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57E7"/>
    <w:multiLevelType w:val="hybridMultilevel"/>
    <w:tmpl w:val="42FE7530"/>
    <w:lvl w:ilvl="0" w:tplc="0E2E5A1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05"/>
    <w:multiLevelType w:val="hybridMultilevel"/>
    <w:tmpl w:val="5E903EB4"/>
    <w:lvl w:ilvl="0" w:tplc="152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05E0"/>
    <w:multiLevelType w:val="hybridMultilevel"/>
    <w:tmpl w:val="5234FF78"/>
    <w:lvl w:ilvl="0" w:tplc="38625B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176237"/>
    <w:multiLevelType w:val="hybridMultilevel"/>
    <w:tmpl w:val="F354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2CB7"/>
    <w:multiLevelType w:val="hybridMultilevel"/>
    <w:tmpl w:val="94FC2C04"/>
    <w:lvl w:ilvl="0" w:tplc="E06C12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84D40"/>
    <w:multiLevelType w:val="hybridMultilevel"/>
    <w:tmpl w:val="C614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C62F3"/>
    <w:multiLevelType w:val="hybridMultilevel"/>
    <w:tmpl w:val="C20E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5AE7"/>
    <w:multiLevelType w:val="hybridMultilevel"/>
    <w:tmpl w:val="674C4A5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12670"/>
    <w:multiLevelType w:val="hybridMultilevel"/>
    <w:tmpl w:val="246A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79C"/>
    <w:multiLevelType w:val="hybridMultilevel"/>
    <w:tmpl w:val="9FFAE044"/>
    <w:lvl w:ilvl="0" w:tplc="FD24EFA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0722"/>
    <w:multiLevelType w:val="hybridMultilevel"/>
    <w:tmpl w:val="C7A6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3DA1"/>
    <w:multiLevelType w:val="hybridMultilevel"/>
    <w:tmpl w:val="A45CEE68"/>
    <w:lvl w:ilvl="0" w:tplc="137CD4E2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E06526"/>
    <w:multiLevelType w:val="hybridMultilevel"/>
    <w:tmpl w:val="D430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72480"/>
    <w:multiLevelType w:val="hybridMultilevel"/>
    <w:tmpl w:val="5FE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4631"/>
    <w:multiLevelType w:val="singleLevel"/>
    <w:tmpl w:val="0E8A0AB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2017"/>
      </w:rPr>
    </w:lvl>
  </w:abstractNum>
  <w:abstractNum w:abstractNumId="22" w15:restartNumberingAfterBreak="0">
    <w:nsid w:val="60A8501C"/>
    <w:multiLevelType w:val="hybridMultilevel"/>
    <w:tmpl w:val="CB9EEAA0"/>
    <w:lvl w:ilvl="0" w:tplc="EC04E9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E5852"/>
    <w:multiLevelType w:val="hybridMultilevel"/>
    <w:tmpl w:val="8E6A2118"/>
    <w:lvl w:ilvl="0" w:tplc="215ACD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070EA5"/>
    <w:multiLevelType w:val="hybridMultilevel"/>
    <w:tmpl w:val="6DA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E10"/>
    <w:multiLevelType w:val="hybridMultilevel"/>
    <w:tmpl w:val="22EC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01D7"/>
    <w:multiLevelType w:val="hybridMultilevel"/>
    <w:tmpl w:val="C182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00F4E"/>
    <w:multiLevelType w:val="hybridMultilevel"/>
    <w:tmpl w:val="CE925118"/>
    <w:lvl w:ilvl="0" w:tplc="5D5636B6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2" w:hanging="360"/>
      </w:pPr>
    </w:lvl>
    <w:lvl w:ilvl="2" w:tplc="0418001B" w:tentative="1">
      <w:start w:val="1"/>
      <w:numFmt w:val="lowerRoman"/>
      <w:lvlText w:val="%3."/>
      <w:lvlJc w:val="right"/>
      <w:pPr>
        <w:ind w:left="3502" w:hanging="180"/>
      </w:pPr>
    </w:lvl>
    <w:lvl w:ilvl="3" w:tplc="0418000F" w:tentative="1">
      <w:start w:val="1"/>
      <w:numFmt w:val="decimal"/>
      <w:lvlText w:val="%4."/>
      <w:lvlJc w:val="left"/>
      <w:pPr>
        <w:ind w:left="4222" w:hanging="360"/>
      </w:pPr>
    </w:lvl>
    <w:lvl w:ilvl="4" w:tplc="04180019" w:tentative="1">
      <w:start w:val="1"/>
      <w:numFmt w:val="lowerLetter"/>
      <w:lvlText w:val="%5."/>
      <w:lvlJc w:val="left"/>
      <w:pPr>
        <w:ind w:left="4942" w:hanging="360"/>
      </w:pPr>
    </w:lvl>
    <w:lvl w:ilvl="5" w:tplc="0418001B" w:tentative="1">
      <w:start w:val="1"/>
      <w:numFmt w:val="lowerRoman"/>
      <w:lvlText w:val="%6."/>
      <w:lvlJc w:val="right"/>
      <w:pPr>
        <w:ind w:left="5662" w:hanging="180"/>
      </w:pPr>
    </w:lvl>
    <w:lvl w:ilvl="6" w:tplc="0418000F" w:tentative="1">
      <w:start w:val="1"/>
      <w:numFmt w:val="decimal"/>
      <w:lvlText w:val="%7."/>
      <w:lvlJc w:val="left"/>
      <w:pPr>
        <w:ind w:left="6382" w:hanging="360"/>
      </w:pPr>
    </w:lvl>
    <w:lvl w:ilvl="7" w:tplc="04180019" w:tentative="1">
      <w:start w:val="1"/>
      <w:numFmt w:val="lowerLetter"/>
      <w:lvlText w:val="%8."/>
      <w:lvlJc w:val="left"/>
      <w:pPr>
        <w:ind w:left="7102" w:hanging="360"/>
      </w:pPr>
    </w:lvl>
    <w:lvl w:ilvl="8" w:tplc="0418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21"/>
  </w:num>
  <w:num w:numId="8">
    <w:abstractNumId w:val="12"/>
  </w:num>
  <w:num w:numId="9">
    <w:abstractNumId w:val="6"/>
  </w:num>
  <w:num w:numId="10">
    <w:abstractNumId w:val="17"/>
  </w:num>
  <w:num w:numId="11">
    <w:abstractNumId w:val="19"/>
  </w:num>
  <w:num w:numId="12">
    <w:abstractNumId w:val="24"/>
  </w:num>
  <w:num w:numId="13">
    <w:abstractNumId w:val="4"/>
  </w:num>
  <w:num w:numId="14">
    <w:abstractNumId w:val="25"/>
  </w:num>
  <w:num w:numId="15">
    <w:abstractNumId w:val="20"/>
  </w:num>
  <w:num w:numId="16">
    <w:abstractNumId w:val="10"/>
  </w:num>
  <w:num w:numId="17">
    <w:abstractNumId w:val="13"/>
  </w:num>
  <w:num w:numId="18">
    <w:abstractNumId w:val="0"/>
  </w:num>
  <w:num w:numId="19">
    <w:abstractNumId w:val="5"/>
  </w:num>
  <w:num w:numId="20">
    <w:abstractNumId w:val="26"/>
  </w:num>
  <w:num w:numId="21">
    <w:abstractNumId w:val="27"/>
  </w:num>
  <w:num w:numId="22">
    <w:abstractNumId w:val="18"/>
  </w:num>
  <w:num w:numId="23">
    <w:abstractNumId w:val="9"/>
  </w:num>
  <w:num w:numId="24">
    <w:abstractNumId w:val="11"/>
  </w:num>
  <w:num w:numId="25">
    <w:abstractNumId w:val="15"/>
  </w:num>
  <w:num w:numId="26">
    <w:abstractNumId w:val="23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F"/>
    <w:rsid w:val="000007D4"/>
    <w:rsid w:val="000064A5"/>
    <w:rsid w:val="0001735D"/>
    <w:rsid w:val="0003766E"/>
    <w:rsid w:val="00041A2B"/>
    <w:rsid w:val="00050917"/>
    <w:rsid w:val="00054379"/>
    <w:rsid w:val="00055A07"/>
    <w:rsid w:val="00056CAC"/>
    <w:rsid w:val="00066346"/>
    <w:rsid w:val="00071D39"/>
    <w:rsid w:val="000723CA"/>
    <w:rsid w:val="00077062"/>
    <w:rsid w:val="0007755E"/>
    <w:rsid w:val="00083E3F"/>
    <w:rsid w:val="00084DCE"/>
    <w:rsid w:val="000875C1"/>
    <w:rsid w:val="00093278"/>
    <w:rsid w:val="00094A9B"/>
    <w:rsid w:val="000A47B2"/>
    <w:rsid w:val="000C73B8"/>
    <w:rsid w:val="000D360A"/>
    <w:rsid w:val="000E0282"/>
    <w:rsid w:val="000E0680"/>
    <w:rsid w:val="000E4EA7"/>
    <w:rsid w:val="000E5BC9"/>
    <w:rsid w:val="000F78AB"/>
    <w:rsid w:val="00115069"/>
    <w:rsid w:val="001220CC"/>
    <w:rsid w:val="0013632F"/>
    <w:rsid w:val="00140953"/>
    <w:rsid w:val="0014554D"/>
    <w:rsid w:val="0015093A"/>
    <w:rsid w:val="00151311"/>
    <w:rsid w:val="00161BFA"/>
    <w:rsid w:val="0016220F"/>
    <w:rsid w:val="00163D53"/>
    <w:rsid w:val="001670F4"/>
    <w:rsid w:val="00171C7F"/>
    <w:rsid w:val="001735AE"/>
    <w:rsid w:val="001823B6"/>
    <w:rsid w:val="001870BD"/>
    <w:rsid w:val="00191CD7"/>
    <w:rsid w:val="001B2F23"/>
    <w:rsid w:val="001B74D4"/>
    <w:rsid w:val="001D5768"/>
    <w:rsid w:val="001D7B98"/>
    <w:rsid w:val="001E134D"/>
    <w:rsid w:val="001E1B78"/>
    <w:rsid w:val="001E66B6"/>
    <w:rsid w:val="001E730A"/>
    <w:rsid w:val="001F08FD"/>
    <w:rsid w:val="001F4340"/>
    <w:rsid w:val="001F53A5"/>
    <w:rsid w:val="002023D9"/>
    <w:rsid w:val="00202D0E"/>
    <w:rsid w:val="002112C5"/>
    <w:rsid w:val="00213703"/>
    <w:rsid w:val="0023380D"/>
    <w:rsid w:val="0023659F"/>
    <w:rsid w:val="002403E1"/>
    <w:rsid w:val="00254BA7"/>
    <w:rsid w:val="0026176A"/>
    <w:rsid w:val="00271156"/>
    <w:rsid w:val="0027498D"/>
    <w:rsid w:val="002854AE"/>
    <w:rsid w:val="00295226"/>
    <w:rsid w:val="00295C19"/>
    <w:rsid w:val="00295F7B"/>
    <w:rsid w:val="002A223C"/>
    <w:rsid w:val="002E51D6"/>
    <w:rsid w:val="002F5832"/>
    <w:rsid w:val="002F7301"/>
    <w:rsid w:val="003009F0"/>
    <w:rsid w:val="00304394"/>
    <w:rsid w:val="003043EA"/>
    <w:rsid w:val="00330170"/>
    <w:rsid w:val="00336358"/>
    <w:rsid w:val="003378E0"/>
    <w:rsid w:val="00344E20"/>
    <w:rsid w:val="00377049"/>
    <w:rsid w:val="00377C99"/>
    <w:rsid w:val="003815FA"/>
    <w:rsid w:val="003842F2"/>
    <w:rsid w:val="00385CF9"/>
    <w:rsid w:val="00386AB6"/>
    <w:rsid w:val="003A7EE2"/>
    <w:rsid w:val="003B029A"/>
    <w:rsid w:val="003C0A6E"/>
    <w:rsid w:val="003C788D"/>
    <w:rsid w:val="003D1382"/>
    <w:rsid w:val="003E484E"/>
    <w:rsid w:val="003F69CA"/>
    <w:rsid w:val="00417386"/>
    <w:rsid w:val="00433C05"/>
    <w:rsid w:val="00435561"/>
    <w:rsid w:val="00435FF9"/>
    <w:rsid w:val="00444332"/>
    <w:rsid w:val="0044522F"/>
    <w:rsid w:val="0046369B"/>
    <w:rsid w:val="004643D9"/>
    <w:rsid w:val="004648D0"/>
    <w:rsid w:val="004652DA"/>
    <w:rsid w:val="00477CDD"/>
    <w:rsid w:val="00494A62"/>
    <w:rsid w:val="004964D5"/>
    <w:rsid w:val="004A3DA9"/>
    <w:rsid w:val="004A50C9"/>
    <w:rsid w:val="004A61EB"/>
    <w:rsid w:val="004B3298"/>
    <w:rsid w:val="004B45DB"/>
    <w:rsid w:val="004C1FE7"/>
    <w:rsid w:val="004D15C8"/>
    <w:rsid w:val="004D37EA"/>
    <w:rsid w:val="004F09FF"/>
    <w:rsid w:val="004F36BF"/>
    <w:rsid w:val="005012D3"/>
    <w:rsid w:val="00503722"/>
    <w:rsid w:val="005104D5"/>
    <w:rsid w:val="00512655"/>
    <w:rsid w:val="0052108A"/>
    <w:rsid w:val="00523537"/>
    <w:rsid w:val="005305E0"/>
    <w:rsid w:val="00533CF6"/>
    <w:rsid w:val="00533ED3"/>
    <w:rsid w:val="00537DBE"/>
    <w:rsid w:val="0054118D"/>
    <w:rsid w:val="0055028D"/>
    <w:rsid w:val="00551F4A"/>
    <w:rsid w:val="00560FC2"/>
    <w:rsid w:val="00562637"/>
    <w:rsid w:val="00564030"/>
    <w:rsid w:val="005751AF"/>
    <w:rsid w:val="00576FB4"/>
    <w:rsid w:val="00577759"/>
    <w:rsid w:val="005A5B02"/>
    <w:rsid w:val="005A5EDA"/>
    <w:rsid w:val="005B498D"/>
    <w:rsid w:val="005D2CB2"/>
    <w:rsid w:val="005E0F18"/>
    <w:rsid w:val="005E38F4"/>
    <w:rsid w:val="005E45E2"/>
    <w:rsid w:val="005F3102"/>
    <w:rsid w:val="006007CE"/>
    <w:rsid w:val="006076DF"/>
    <w:rsid w:val="006203FF"/>
    <w:rsid w:val="00632A1B"/>
    <w:rsid w:val="00637DF3"/>
    <w:rsid w:val="00640B0A"/>
    <w:rsid w:val="00644721"/>
    <w:rsid w:val="00644D4E"/>
    <w:rsid w:val="0065292C"/>
    <w:rsid w:val="00655C4A"/>
    <w:rsid w:val="006604D2"/>
    <w:rsid w:val="00667CB1"/>
    <w:rsid w:val="0067000C"/>
    <w:rsid w:val="00673AB2"/>
    <w:rsid w:val="00680CE2"/>
    <w:rsid w:val="00693E1B"/>
    <w:rsid w:val="006A1654"/>
    <w:rsid w:val="006A41FC"/>
    <w:rsid w:val="006A56A1"/>
    <w:rsid w:val="006A5BE7"/>
    <w:rsid w:val="006B0616"/>
    <w:rsid w:val="006B0F22"/>
    <w:rsid w:val="006C1F66"/>
    <w:rsid w:val="006C2AFE"/>
    <w:rsid w:val="006E3C65"/>
    <w:rsid w:val="006E42D4"/>
    <w:rsid w:val="006E749B"/>
    <w:rsid w:val="007032E7"/>
    <w:rsid w:val="0070493B"/>
    <w:rsid w:val="0070601C"/>
    <w:rsid w:val="007154CE"/>
    <w:rsid w:val="00721681"/>
    <w:rsid w:val="007226B4"/>
    <w:rsid w:val="00724A44"/>
    <w:rsid w:val="007322E6"/>
    <w:rsid w:val="007361F6"/>
    <w:rsid w:val="00737AE4"/>
    <w:rsid w:val="00737D67"/>
    <w:rsid w:val="0074299B"/>
    <w:rsid w:val="007551DC"/>
    <w:rsid w:val="00757741"/>
    <w:rsid w:val="00760F97"/>
    <w:rsid w:val="00777EC1"/>
    <w:rsid w:val="00780919"/>
    <w:rsid w:val="00787A52"/>
    <w:rsid w:val="00792273"/>
    <w:rsid w:val="007930C6"/>
    <w:rsid w:val="007B176A"/>
    <w:rsid w:val="007B1AA7"/>
    <w:rsid w:val="007B1E40"/>
    <w:rsid w:val="007C4D90"/>
    <w:rsid w:val="007C5E83"/>
    <w:rsid w:val="007D0239"/>
    <w:rsid w:val="007D1E5E"/>
    <w:rsid w:val="007D38D1"/>
    <w:rsid w:val="007D6893"/>
    <w:rsid w:val="007E0061"/>
    <w:rsid w:val="007E3930"/>
    <w:rsid w:val="007E6A3A"/>
    <w:rsid w:val="007F2C5A"/>
    <w:rsid w:val="007F78D6"/>
    <w:rsid w:val="008035C9"/>
    <w:rsid w:val="00803C30"/>
    <w:rsid w:val="00804B44"/>
    <w:rsid w:val="00831F04"/>
    <w:rsid w:val="00836522"/>
    <w:rsid w:val="00840963"/>
    <w:rsid w:val="00850171"/>
    <w:rsid w:val="00854B86"/>
    <w:rsid w:val="00857CCD"/>
    <w:rsid w:val="00870401"/>
    <w:rsid w:val="00876C1E"/>
    <w:rsid w:val="008829F1"/>
    <w:rsid w:val="008923CF"/>
    <w:rsid w:val="00895559"/>
    <w:rsid w:val="008A31B2"/>
    <w:rsid w:val="008A7FEE"/>
    <w:rsid w:val="008B3AC9"/>
    <w:rsid w:val="008C326A"/>
    <w:rsid w:val="008C502D"/>
    <w:rsid w:val="008D0912"/>
    <w:rsid w:val="008D32DA"/>
    <w:rsid w:val="008D719C"/>
    <w:rsid w:val="00914A91"/>
    <w:rsid w:val="00915F54"/>
    <w:rsid w:val="0091756A"/>
    <w:rsid w:val="00917A86"/>
    <w:rsid w:val="00917CCA"/>
    <w:rsid w:val="00923D97"/>
    <w:rsid w:val="0092560B"/>
    <w:rsid w:val="00925C0C"/>
    <w:rsid w:val="009306C2"/>
    <w:rsid w:val="00956E01"/>
    <w:rsid w:val="0096011D"/>
    <w:rsid w:val="00964D52"/>
    <w:rsid w:val="00974B1B"/>
    <w:rsid w:val="0097524E"/>
    <w:rsid w:val="0097528C"/>
    <w:rsid w:val="00975AA2"/>
    <w:rsid w:val="0099357C"/>
    <w:rsid w:val="009A34E4"/>
    <w:rsid w:val="009A3816"/>
    <w:rsid w:val="009B1B50"/>
    <w:rsid w:val="009C1E77"/>
    <w:rsid w:val="009C2A30"/>
    <w:rsid w:val="009D09FF"/>
    <w:rsid w:val="009D1B6D"/>
    <w:rsid w:val="009F3EB1"/>
    <w:rsid w:val="00A02C2C"/>
    <w:rsid w:val="00A04694"/>
    <w:rsid w:val="00A4249B"/>
    <w:rsid w:val="00A4373A"/>
    <w:rsid w:val="00A50440"/>
    <w:rsid w:val="00A61E15"/>
    <w:rsid w:val="00A75806"/>
    <w:rsid w:val="00A80D04"/>
    <w:rsid w:val="00AA1867"/>
    <w:rsid w:val="00AB27AD"/>
    <w:rsid w:val="00AC20FB"/>
    <w:rsid w:val="00AC3D54"/>
    <w:rsid w:val="00AD0793"/>
    <w:rsid w:val="00AD09D6"/>
    <w:rsid w:val="00AD136F"/>
    <w:rsid w:val="00AD7663"/>
    <w:rsid w:val="00AE1C82"/>
    <w:rsid w:val="00AE58DF"/>
    <w:rsid w:val="00B04F5D"/>
    <w:rsid w:val="00B17057"/>
    <w:rsid w:val="00B22576"/>
    <w:rsid w:val="00B23300"/>
    <w:rsid w:val="00B352BA"/>
    <w:rsid w:val="00B403CB"/>
    <w:rsid w:val="00B44975"/>
    <w:rsid w:val="00B50279"/>
    <w:rsid w:val="00B54AA7"/>
    <w:rsid w:val="00B5647F"/>
    <w:rsid w:val="00B574D7"/>
    <w:rsid w:val="00B642FB"/>
    <w:rsid w:val="00B73062"/>
    <w:rsid w:val="00B772E4"/>
    <w:rsid w:val="00B94823"/>
    <w:rsid w:val="00BB22C6"/>
    <w:rsid w:val="00BD6990"/>
    <w:rsid w:val="00BD6F6D"/>
    <w:rsid w:val="00BE0ED3"/>
    <w:rsid w:val="00BE0FE5"/>
    <w:rsid w:val="00BE2D49"/>
    <w:rsid w:val="00BE4FD4"/>
    <w:rsid w:val="00C04DCD"/>
    <w:rsid w:val="00C140CD"/>
    <w:rsid w:val="00C22A2D"/>
    <w:rsid w:val="00C252BF"/>
    <w:rsid w:val="00C557FC"/>
    <w:rsid w:val="00C74B6A"/>
    <w:rsid w:val="00C81CC3"/>
    <w:rsid w:val="00C84902"/>
    <w:rsid w:val="00C858FB"/>
    <w:rsid w:val="00C874C8"/>
    <w:rsid w:val="00C90777"/>
    <w:rsid w:val="00C940AB"/>
    <w:rsid w:val="00CD3E6D"/>
    <w:rsid w:val="00CD42FE"/>
    <w:rsid w:val="00CD6B02"/>
    <w:rsid w:val="00CE1E69"/>
    <w:rsid w:val="00CE446A"/>
    <w:rsid w:val="00CE6C30"/>
    <w:rsid w:val="00CF02C2"/>
    <w:rsid w:val="00CF48A3"/>
    <w:rsid w:val="00CF4FFC"/>
    <w:rsid w:val="00D0021B"/>
    <w:rsid w:val="00D01667"/>
    <w:rsid w:val="00D01B05"/>
    <w:rsid w:val="00D04489"/>
    <w:rsid w:val="00D14DC2"/>
    <w:rsid w:val="00D1584D"/>
    <w:rsid w:val="00D22507"/>
    <w:rsid w:val="00D25294"/>
    <w:rsid w:val="00D27C57"/>
    <w:rsid w:val="00D36AA4"/>
    <w:rsid w:val="00D56333"/>
    <w:rsid w:val="00D61BB1"/>
    <w:rsid w:val="00D728D0"/>
    <w:rsid w:val="00D95DD0"/>
    <w:rsid w:val="00D95E05"/>
    <w:rsid w:val="00D9772D"/>
    <w:rsid w:val="00DA42E6"/>
    <w:rsid w:val="00DB57B5"/>
    <w:rsid w:val="00DB6952"/>
    <w:rsid w:val="00DB76AA"/>
    <w:rsid w:val="00DC3A9D"/>
    <w:rsid w:val="00DC3DA4"/>
    <w:rsid w:val="00DC582C"/>
    <w:rsid w:val="00DD5257"/>
    <w:rsid w:val="00DE1353"/>
    <w:rsid w:val="00DF650D"/>
    <w:rsid w:val="00E055AE"/>
    <w:rsid w:val="00E07C25"/>
    <w:rsid w:val="00E07CD0"/>
    <w:rsid w:val="00E14433"/>
    <w:rsid w:val="00E34B37"/>
    <w:rsid w:val="00E4297B"/>
    <w:rsid w:val="00E6602B"/>
    <w:rsid w:val="00E7456A"/>
    <w:rsid w:val="00E77C0D"/>
    <w:rsid w:val="00E85C96"/>
    <w:rsid w:val="00E90BE3"/>
    <w:rsid w:val="00EA242F"/>
    <w:rsid w:val="00EB27D9"/>
    <w:rsid w:val="00EB3E0E"/>
    <w:rsid w:val="00EB41B6"/>
    <w:rsid w:val="00ED6E98"/>
    <w:rsid w:val="00EE3D4F"/>
    <w:rsid w:val="00F00087"/>
    <w:rsid w:val="00F043D3"/>
    <w:rsid w:val="00F20316"/>
    <w:rsid w:val="00F2252F"/>
    <w:rsid w:val="00F22706"/>
    <w:rsid w:val="00F25699"/>
    <w:rsid w:val="00F32DD7"/>
    <w:rsid w:val="00F44A67"/>
    <w:rsid w:val="00F56764"/>
    <w:rsid w:val="00F70239"/>
    <w:rsid w:val="00F73FC2"/>
    <w:rsid w:val="00F8454E"/>
    <w:rsid w:val="00F87AA2"/>
    <w:rsid w:val="00F96277"/>
    <w:rsid w:val="00FA1466"/>
    <w:rsid w:val="00FB01B4"/>
    <w:rsid w:val="00FC50B4"/>
    <w:rsid w:val="00FC73EF"/>
    <w:rsid w:val="00FD0F66"/>
    <w:rsid w:val="00FD3856"/>
    <w:rsid w:val="00FE1581"/>
    <w:rsid w:val="00FE1801"/>
    <w:rsid w:val="00FE1BC8"/>
    <w:rsid w:val="00FE7E40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562BA-1335-415D-93F7-0355629E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E1B78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FF"/>
  </w:style>
  <w:style w:type="paragraph" w:styleId="Footer">
    <w:name w:val="footer"/>
    <w:basedOn w:val="Normal"/>
    <w:link w:val="Foot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FF"/>
  </w:style>
  <w:style w:type="paragraph" w:styleId="BalloonText">
    <w:name w:val="Balloon Text"/>
    <w:basedOn w:val="Normal"/>
    <w:link w:val="BalloonTextChar"/>
    <w:uiPriority w:val="99"/>
    <w:semiHidden/>
    <w:unhideWhenUsed/>
    <w:rsid w:val="0062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3FF"/>
    <w:rPr>
      <w:color w:val="0000FF" w:themeColor="hyperlink"/>
      <w:u w:val="single"/>
    </w:rPr>
  </w:style>
  <w:style w:type="character" w:customStyle="1" w:styleId="tal1">
    <w:name w:val="tal1"/>
    <w:basedOn w:val="DefaultParagraphFont"/>
    <w:rsid w:val="00680CE2"/>
  </w:style>
  <w:style w:type="character" w:customStyle="1" w:styleId="Heading1Char">
    <w:name w:val="Heading 1 Char"/>
    <w:basedOn w:val="DefaultParagraphFont"/>
    <w:link w:val="Heading1"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rsid w:val="001E1B78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ListParagraph">
    <w:name w:val="List Paragraph"/>
    <w:basedOn w:val="Normal"/>
    <w:qFormat/>
    <w:rsid w:val="009306C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yle">
    <w:name w:val="Style"/>
    <w:rsid w:val="001B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D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92560B"/>
    <w:pPr>
      <w:widowControl w:val="0"/>
      <w:autoSpaceDE w:val="0"/>
      <w:autoSpaceDN w:val="0"/>
      <w:adjustRightInd w:val="0"/>
      <w:spacing w:line="432" w:lineRule="exact"/>
      <w:ind w:firstLine="734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92560B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5">
    <w:name w:val="Font Style25"/>
    <w:uiPriority w:val="99"/>
    <w:rsid w:val="0092560B"/>
    <w:rPr>
      <w:rFonts w:ascii="Tahoma" w:hAnsi="Tahoma" w:cs="Tahoma"/>
      <w:b/>
      <w:bCs/>
      <w:sz w:val="22"/>
      <w:szCs w:val="22"/>
    </w:rPr>
  </w:style>
  <w:style w:type="character" w:customStyle="1" w:styleId="FontStyle26">
    <w:name w:val="Font Style26"/>
    <w:uiPriority w:val="99"/>
    <w:rsid w:val="0092560B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Normal"/>
    <w:uiPriority w:val="99"/>
    <w:rsid w:val="006B0F22"/>
    <w:pPr>
      <w:widowControl w:val="0"/>
      <w:autoSpaceDE w:val="0"/>
      <w:autoSpaceDN w:val="0"/>
      <w:adjustRightInd w:val="0"/>
      <w:spacing w:line="432" w:lineRule="exact"/>
      <w:ind w:hanging="1678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D14DC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D25294"/>
    <w:pPr>
      <w:widowControl w:val="0"/>
      <w:autoSpaceDE w:val="0"/>
      <w:autoSpaceDN w:val="0"/>
      <w:adjustRightInd w:val="0"/>
      <w:spacing w:line="432" w:lineRule="exact"/>
      <w:ind w:hanging="360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EB27D9"/>
    <w:pPr>
      <w:widowControl w:val="0"/>
      <w:autoSpaceDE w:val="0"/>
      <w:autoSpaceDN w:val="0"/>
      <w:adjustRightInd w:val="0"/>
      <w:spacing w:line="284" w:lineRule="exact"/>
      <w:jc w:val="center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nstitutulnotari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9A5A-F2E6-4B4D-9716-F6DA4901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2019-04-17T08:14:00Z</cp:lastPrinted>
  <dcterms:created xsi:type="dcterms:W3CDTF">2019-04-17T08:15:00Z</dcterms:created>
  <dcterms:modified xsi:type="dcterms:W3CDTF">2019-04-17T08:19:00Z</dcterms:modified>
</cp:coreProperties>
</file>